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00" w:firstLineChars="100"/>
        <w:jc w:val="center"/>
        <w:rPr>
          <w:rFonts w:ascii="黑体" w:hAnsi="黑体" w:eastAsia="黑体"/>
          <w:iCs/>
          <w:sz w:val="30"/>
          <w:szCs w:val="30"/>
        </w:rPr>
      </w:pPr>
      <w:bookmarkStart w:id="1" w:name="_GoBack"/>
      <w:bookmarkEnd w:id="1"/>
      <w:r>
        <w:rPr>
          <w:rFonts w:hint="eastAsia" w:ascii="黑体" w:hAnsi="黑体" w:eastAsia="黑体"/>
          <w:sz w:val="30"/>
          <w:szCs w:val="30"/>
        </w:rPr>
        <w:t>附件</w:t>
      </w:r>
      <w:r>
        <w:rPr>
          <w:rFonts w:hint="eastAsia" w:ascii="黑体" w:hAnsi="黑体" w:eastAsia="黑体"/>
          <w:sz w:val="30"/>
          <w:szCs w:val="30"/>
          <w:lang w:val="en-US" w:eastAsia="zh-CN"/>
        </w:rPr>
        <w:t>:</w:t>
      </w:r>
      <w:r>
        <w:rPr>
          <w:rFonts w:hint="eastAsia" w:ascii="黑体" w:hAnsi="黑体" w:eastAsia="黑体"/>
          <w:iCs/>
          <w:sz w:val="30"/>
          <w:szCs w:val="30"/>
          <w:lang w:val="en-US" w:eastAsia="zh-CN"/>
        </w:rPr>
        <w:t>整体婴儿洗浴中心</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Theme="minorEastAsia"/>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2"/>
        <w:tblW w:w="0" w:type="auto"/>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sz w:val="24"/>
                <w:lang w:val="en-US" w:eastAsia="zh-CN"/>
              </w:rPr>
              <w:t>整体婴儿洗浴中心</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套</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60000</w:t>
            </w:r>
            <w:r>
              <w:rPr>
                <w:rFonts w:hint="eastAsia" w:ascii="宋体" w:hAnsi="宋体" w:cs="宋体"/>
                <w:kern w:val="0"/>
                <w:sz w:val="24"/>
              </w:rPr>
              <w:t>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Style w:val="4"/>
          <w:rFonts w:hint="eastAsia"/>
          <w:sz w:val="30"/>
          <w:szCs w:val="30"/>
        </w:rPr>
      </w:pPr>
      <w:r>
        <w:rPr>
          <w:rFonts w:hint="eastAsia" w:ascii="宋体" w:hAnsi="宋体" w:cs="Arial"/>
          <w:b/>
          <w:sz w:val="24"/>
        </w:rPr>
        <w:t>二、详细技术参数及功能要求：</w:t>
      </w:r>
    </w:p>
    <w:tbl>
      <w:tblPr>
        <w:tblStyle w:val="2"/>
        <w:tblpPr w:leftFromText="180" w:rightFromText="180" w:vertAnchor="page" w:horzAnchor="page" w:tblpX="1491" w:tblpY="40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923"/>
        <w:gridCol w:w="458"/>
        <w:gridCol w:w="458"/>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配置名称</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单位</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数量</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0" w:type="auto"/>
            <w:vAlign w:val="center"/>
          </w:tcPr>
          <w:p>
            <w:pPr>
              <w:rPr>
                <w:rFonts w:asciiTheme="minorEastAsia" w:hAnsiTheme="minorEastAsia" w:cstheme="minorEastAsia"/>
                <w:szCs w:val="21"/>
              </w:rPr>
            </w:pPr>
            <w:bookmarkStart w:id="0" w:name="OLE_LINK1" w:colFirst="5" w:colLast="5"/>
            <w:r>
              <w:rPr>
                <w:rFonts w:hint="eastAsia" w:asciiTheme="minorEastAsia" w:hAnsiTheme="minorEastAsia" w:cstheme="minorEastAsia"/>
                <w:szCs w:val="21"/>
              </w:rPr>
              <w:t>1</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洗手池及下柜</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w:t>
            </w:r>
          </w:p>
        </w:tc>
        <w:tc>
          <w:tcPr>
            <w:tcW w:w="6226" w:type="dxa"/>
            <w:vMerge w:val="restart"/>
            <w:vAlign w:val="center"/>
          </w:tcPr>
          <w:p>
            <w:pPr>
              <w:rPr>
                <w:rFonts w:asciiTheme="minorEastAsia" w:hAnsiTheme="minorEastAsia" w:cstheme="minorEastAsia"/>
                <w:szCs w:val="21"/>
              </w:rPr>
            </w:pPr>
            <w:r>
              <w:rPr>
                <w:rFonts w:hint="eastAsia" w:asciiTheme="minorEastAsia" w:hAnsiTheme="minorEastAsia" w:cstheme="minorEastAsia"/>
                <w:szCs w:val="21"/>
              </w:rPr>
              <w:t>1、游泳池、洗礼池、护理台、洗手池均采用面层为PMMA高分子复合材料与台面一次性整体吸塑成型。</w:t>
            </w:r>
          </w:p>
          <w:p>
            <w:pPr>
              <w:rPr>
                <w:rFonts w:asciiTheme="minorEastAsia" w:hAnsiTheme="minorEastAsia" w:cstheme="minorEastAsia"/>
                <w:szCs w:val="21"/>
              </w:rPr>
            </w:pPr>
            <w:r>
              <w:rPr>
                <w:rFonts w:hint="eastAsia" w:asciiTheme="minorEastAsia" w:hAnsiTheme="minorEastAsia" w:cstheme="minorEastAsia"/>
                <w:szCs w:val="21"/>
              </w:rPr>
              <w:t>2、抚触台：表面雪白皮革软包，内置50mm高质量海绵。</w:t>
            </w:r>
          </w:p>
          <w:p>
            <w:pPr>
              <w:rPr>
                <w:rFonts w:asciiTheme="minorEastAsia" w:hAnsiTheme="minorEastAsia" w:cstheme="minorEastAsia"/>
                <w:szCs w:val="21"/>
              </w:rPr>
            </w:pPr>
            <w:r>
              <w:rPr>
                <w:rFonts w:hint="eastAsia" w:asciiTheme="minorEastAsia" w:hAnsiTheme="minorEastAsia" w:cstheme="minorEastAsia"/>
                <w:szCs w:val="21"/>
              </w:rPr>
              <w:t>3、台面支架选用全优质304不锈钢，高度设计符合人体工程学要求；</w:t>
            </w:r>
          </w:p>
          <w:p>
            <w:pPr>
              <w:rPr>
                <w:rFonts w:asciiTheme="minorEastAsia" w:hAnsiTheme="minorEastAsia" w:cstheme="minorEastAsia"/>
                <w:szCs w:val="21"/>
              </w:rPr>
            </w:pPr>
            <w:r>
              <w:rPr>
                <w:rFonts w:hint="eastAsia" w:asciiTheme="minorEastAsia" w:hAnsiTheme="minorEastAsia" w:cstheme="minorEastAsia"/>
                <w:szCs w:val="21"/>
              </w:rPr>
              <w:t>4、柜体底板采用PVC塑钢板材质，非复合板及碳钢烤漆板，杜绝出现膨胀或生锈的情况。采用彩色钢化玻璃，具有环保、防火、防潮、防划伤、耐腐蚀、易清洁不变形等特点，柜门采用上挡板和下柜门分体设计，更美观，非整体柜门设计，；柜门铰链采用阻尼铰链，实现柜门自动闭合到位。</w:t>
            </w:r>
          </w:p>
          <w:p>
            <w:pPr>
              <w:rPr>
                <w:rFonts w:asciiTheme="minorEastAsia" w:hAnsiTheme="minorEastAsia" w:cstheme="minorEastAsia"/>
                <w:szCs w:val="21"/>
              </w:rPr>
            </w:pPr>
            <w:r>
              <w:rPr>
                <w:rFonts w:hint="eastAsia" w:asciiTheme="minorEastAsia" w:hAnsiTheme="minorEastAsia" w:cstheme="minorEastAsia"/>
                <w:szCs w:val="21"/>
              </w:rPr>
              <w:t>5、规格尺寸（组合方式详见图纸）</w:t>
            </w:r>
          </w:p>
          <w:p>
            <w:pPr>
              <w:rPr>
                <w:rFonts w:asciiTheme="minorEastAsia" w:hAnsiTheme="minorEastAsia" w:cstheme="minorEastAsia"/>
                <w:szCs w:val="21"/>
              </w:rPr>
            </w:pPr>
            <w:r>
              <w:rPr>
                <w:rFonts w:hint="eastAsia" w:asciiTheme="minorEastAsia" w:hAnsiTheme="minorEastAsia" w:cstheme="minorEastAsia"/>
                <w:szCs w:val="21"/>
              </w:rPr>
              <w:t>洗手池尺寸：500x790x800mm</w:t>
            </w:r>
          </w:p>
          <w:p>
            <w:pPr>
              <w:rPr>
                <w:rFonts w:asciiTheme="minorEastAsia" w:hAnsiTheme="minorEastAsia" w:cstheme="minorEastAsia"/>
                <w:szCs w:val="21"/>
              </w:rPr>
            </w:pPr>
            <w:r>
              <w:rPr>
                <w:rFonts w:hint="eastAsia" w:asciiTheme="minorEastAsia" w:hAnsiTheme="minorEastAsia" w:cstheme="minorEastAsia"/>
                <w:szCs w:val="21"/>
              </w:rPr>
              <w:t>游泳池尺寸：900x790x800mm</w:t>
            </w:r>
          </w:p>
          <w:p>
            <w:pPr>
              <w:rPr>
                <w:rFonts w:asciiTheme="minorEastAsia" w:hAnsiTheme="minorEastAsia" w:cstheme="minorEastAsia"/>
                <w:szCs w:val="21"/>
              </w:rPr>
            </w:pPr>
            <w:r>
              <w:rPr>
                <w:rFonts w:hint="eastAsia" w:asciiTheme="minorEastAsia" w:hAnsiTheme="minorEastAsia" w:cstheme="minorEastAsia"/>
                <w:szCs w:val="21"/>
              </w:rPr>
              <w:t>洗礼池尺寸：1000x790x800mm</w:t>
            </w:r>
          </w:p>
          <w:p>
            <w:pPr>
              <w:rPr>
                <w:rFonts w:asciiTheme="minorEastAsia" w:hAnsiTheme="minorEastAsia" w:cstheme="minorEastAsia"/>
                <w:szCs w:val="21"/>
              </w:rPr>
            </w:pPr>
            <w:r>
              <w:rPr>
                <w:rFonts w:hint="eastAsia" w:asciiTheme="minorEastAsia" w:hAnsiTheme="minorEastAsia" w:cstheme="minorEastAsia"/>
                <w:szCs w:val="21"/>
              </w:rPr>
              <w:t xml:space="preserve">抚触台尺寸：1500x790x800mm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游泳池及下柜</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6226" w:type="dxa"/>
            <w:vMerge w:val="continue"/>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3</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洗礼池及下柜</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6226" w:type="dxa"/>
            <w:vMerge w:val="continue"/>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4</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抚触台</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6226" w:type="dxa"/>
            <w:vMerge w:val="continue"/>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5</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（洗手池）感应水龙头</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感应式医用级水龙头</w:t>
            </w:r>
          </w:p>
          <w:p>
            <w:pPr>
              <w:rPr>
                <w:rFonts w:asciiTheme="minorEastAsia" w:hAnsiTheme="minorEastAsia" w:cstheme="minorEastAsia"/>
                <w:szCs w:val="21"/>
              </w:rPr>
            </w:pPr>
            <w:r>
              <w:rPr>
                <w:rFonts w:hint="eastAsia" w:asciiTheme="minorEastAsia" w:hAnsiTheme="minorEastAsia" w:cstheme="minorEastAsia"/>
                <w:szCs w:val="21"/>
              </w:rPr>
              <w:t>适用于婴儿洗浴中心的第一步，无接触感应式洗手。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6</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(游泳池)专用水龙头</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1、水龙头采用优质全医用级材质，具有抗氧化、耐强酸强碱特点。采用冷热水龙头；</w:t>
            </w:r>
          </w:p>
          <w:p>
            <w:pPr>
              <w:rPr>
                <w:rFonts w:asciiTheme="minorEastAsia" w:hAnsiTheme="minorEastAsia" w:cstheme="minorEastAsia"/>
                <w:szCs w:val="21"/>
              </w:rPr>
            </w:pPr>
            <w:r>
              <w:rPr>
                <w:rFonts w:hint="eastAsia" w:asciiTheme="minorEastAsia" w:hAnsiTheme="minorEastAsia" w:cstheme="minorEastAsia"/>
                <w:szCs w:val="21"/>
              </w:rPr>
              <w:t>2、专业医用级品牌水龙头，可旋转；</w:t>
            </w:r>
          </w:p>
          <w:p>
            <w:pPr>
              <w:rPr>
                <w:rFonts w:asciiTheme="minorEastAsia" w:hAnsiTheme="minorEastAsia" w:cstheme="minorEastAsia"/>
                <w:szCs w:val="21"/>
              </w:rPr>
            </w:pPr>
            <w:r>
              <w:rPr>
                <w:rFonts w:hint="eastAsia" w:asciiTheme="minorEastAsia" w:hAnsiTheme="minorEastAsia" w:cstheme="minorEastAsia"/>
                <w:szCs w:val="21"/>
              </w:rPr>
              <w:t>3、适用于游泳池。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7</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(洗礼池)抽拉式水龙头</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水龙头采用优质全医用级材质，具有抗氧化、耐强酸强碱特点。采用冷热水龙头；</w:t>
            </w:r>
          </w:p>
          <w:p>
            <w:pPr>
              <w:rPr>
                <w:rFonts w:asciiTheme="minorEastAsia" w:hAnsiTheme="minorEastAsia" w:cstheme="minorEastAsia"/>
                <w:szCs w:val="21"/>
              </w:rPr>
            </w:pPr>
            <w:r>
              <w:rPr>
                <w:rFonts w:hint="eastAsia" w:asciiTheme="minorEastAsia" w:hAnsiTheme="minorEastAsia" w:cstheme="minorEastAsia"/>
                <w:szCs w:val="21"/>
              </w:rPr>
              <w:t>可抽拉式龙头、花洒水柱可随意调节,360℃旋转；</w:t>
            </w:r>
          </w:p>
          <w:p>
            <w:pPr>
              <w:rPr>
                <w:rFonts w:asciiTheme="minorEastAsia" w:hAnsiTheme="minorEastAsia" w:cstheme="minorEastAsia"/>
                <w:szCs w:val="21"/>
              </w:rPr>
            </w:pPr>
            <w:r>
              <w:rPr>
                <w:rFonts w:hint="eastAsia" w:asciiTheme="minorEastAsia" w:hAnsiTheme="minorEastAsia" w:cstheme="minorEastAsia"/>
                <w:szCs w:val="21"/>
              </w:rPr>
              <w:t>3、适用于洗礼池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8</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恒温水控制器</w:t>
            </w:r>
          </w:p>
          <w:p>
            <w:pPr>
              <w:rPr>
                <w:rFonts w:asciiTheme="minorEastAsia" w:hAnsiTheme="minorEastAsia" w:cstheme="minorEastAsia"/>
                <w:szCs w:val="21"/>
              </w:rPr>
            </w:pPr>
            <w:r>
              <w:rPr>
                <w:rFonts w:hint="eastAsia" w:asciiTheme="minorEastAsia" w:hAnsiTheme="minorEastAsia" w:cstheme="minorEastAsia"/>
                <w:szCs w:val="21"/>
              </w:rPr>
              <w:t>（用于洗礼池及游泳池）</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4</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1、调温精度±1℃；</w:t>
            </w:r>
          </w:p>
          <w:p>
            <w:pPr>
              <w:rPr>
                <w:rFonts w:asciiTheme="minorEastAsia" w:hAnsiTheme="minorEastAsia" w:cstheme="minorEastAsia"/>
                <w:szCs w:val="21"/>
              </w:rPr>
            </w:pPr>
            <w:r>
              <w:rPr>
                <w:rFonts w:hint="eastAsia" w:asciiTheme="minorEastAsia" w:hAnsiTheme="minorEastAsia" w:cstheme="minorEastAsia"/>
                <w:szCs w:val="21"/>
              </w:rPr>
              <w:t xml:space="preserve">2、自动控制温度在38度，可手动任意调节到25℃-48℃，掉电后可恢复到自动38℃设置； </w:t>
            </w:r>
          </w:p>
          <w:p>
            <w:pPr>
              <w:rPr>
                <w:rFonts w:asciiTheme="minorEastAsia" w:hAnsiTheme="minorEastAsia" w:cstheme="minorEastAsia"/>
                <w:szCs w:val="21"/>
              </w:rPr>
            </w:pPr>
            <w:r>
              <w:rPr>
                <w:rFonts w:hint="eastAsia" w:asciiTheme="minorEastAsia" w:hAnsiTheme="minorEastAsia" w:cstheme="minorEastAsia"/>
                <w:szCs w:val="21"/>
              </w:rPr>
              <w:t xml:space="preserve">3、调节次数超50万次 </w:t>
            </w:r>
          </w:p>
          <w:p>
            <w:pPr>
              <w:rPr>
                <w:rFonts w:asciiTheme="minorEastAsia" w:hAnsiTheme="minorEastAsia" w:cstheme="minorEastAsia"/>
                <w:szCs w:val="21"/>
              </w:rPr>
            </w:pPr>
            <w:r>
              <w:rPr>
                <w:rFonts w:hint="eastAsia" w:asciiTheme="minorEastAsia" w:hAnsiTheme="minorEastAsia" w:cstheme="minorEastAsia"/>
                <w:szCs w:val="21"/>
              </w:rPr>
              <w:t xml:space="preserve">4、带止回阀，防止冷热水互串 </w:t>
            </w:r>
          </w:p>
          <w:p>
            <w:pPr>
              <w:rPr>
                <w:rFonts w:asciiTheme="minorEastAsia" w:hAnsiTheme="minorEastAsia" w:cstheme="minorEastAsia"/>
                <w:szCs w:val="21"/>
              </w:rPr>
            </w:pPr>
            <w:r>
              <w:rPr>
                <w:rFonts w:hint="eastAsia" w:asciiTheme="minorEastAsia" w:hAnsiTheme="minorEastAsia" w:cstheme="minorEastAsia"/>
                <w:szCs w:val="21"/>
              </w:rPr>
              <w:t>5、电源DC12V安全供电，用电功率仅5W</w:t>
            </w:r>
          </w:p>
          <w:p>
            <w:pPr>
              <w:rPr>
                <w:rFonts w:asciiTheme="minorEastAsia" w:hAnsiTheme="minorEastAsia" w:cstheme="minorEastAsia"/>
                <w:szCs w:val="21"/>
              </w:rPr>
            </w:pPr>
            <w:r>
              <w:rPr>
                <w:rFonts w:hint="eastAsia" w:asciiTheme="minorEastAsia" w:hAnsiTheme="minorEastAsia" w:cstheme="minorEastAsia"/>
                <w:szCs w:val="21"/>
              </w:rPr>
              <w:t>6、具有过热保护功能，如因异常原因导致出水超过50℃时，系统快速回调温度</w:t>
            </w:r>
          </w:p>
          <w:p>
            <w:pPr>
              <w:rPr>
                <w:rFonts w:asciiTheme="minorEastAsia" w:hAnsiTheme="minorEastAsia" w:cstheme="minorEastAsia"/>
                <w:szCs w:val="21"/>
              </w:rPr>
            </w:pPr>
            <w:r>
              <w:rPr>
                <w:rFonts w:hint="eastAsia" w:asciiTheme="minorEastAsia" w:hAnsiTheme="minorEastAsia" w:cstheme="minorEastAsia"/>
                <w:szCs w:val="21"/>
              </w:rPr>
              <w:t xml:space="preserve">7、进水水压：0.5MPa-0.6MPa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9</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液晶操作控制系统</w:t>
            </w:r>
          </w:p>
          <w:p>
            <w:pPr>
              <w:rPr>
                <w:rFonts w:asciiTheme="minorEastAsia" w:hAnsiTheme="minorEastAsia" w:cstheme="minorEastAsia"/>
                <w:szCs w:val="21"/>
              </w:rPr>
            </w:pPr>
            <w:r>
              <w:rPr>
                <w:rFonts w:hint="eastAsia" w:asciiTheme="minorEastAsia" w:hAnsiTheme="minorEastAsia" w:cstheme="minorEastAsia"/>
                <w:szCs w:val="21"/>
              </w:rPr>
              <w:t>（用于洗礼池及游泳池）</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套</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4</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 xml:space="preserve">1、面板外框尺寸：178 mm（长）×100 mm（高）,安装开孔尺寸：150mm（长）×85 mm（高）； </w:t>
            </w:r>
          </w:p>
          <w:p>
            <w:pPr>
              <w:rPr>
                <w:rFonts w:asciiTheme="minorEastAsia" w:hAnsiTheme="minorEastAsia" w:cstheme="minorEastAsia"/>
                <w:szCs w:val="21"/>
              </w:rPr>
            </w:pPr>
            <w:r>
              <w:rPr>
                <w:rFonts w:hint="eastAsia" w:asciiTheme="minorEastAsia" w:hAnsiTheme="minorEastAsia" w:cstheme="minorEastAsia"/>
                <w:szCs w:val="21"/>
              </w:rPr>
              <w:t xml:space="preserve">2、DC12V安全电压，液晶显示屏（㎜）95mm（长）×42mm（宽），全中文显示室内温度及池内水的温度； </w:t>
            </w:r>
          </w:p>
          <w:p>
            <w:pPr>
              <w:rPr>
                <w:rFonts w:asciiTheme="minorEastAsia" w:hAnsiTheme="minorEastAsia" w:cstheme="minorEastAsia"/>
                <w:szCs w:val="21"/>
              </w:rPr>
            </w:pPr>
            <w:r>
              <w:rPr>
                <w:rFonts w:hint="eastAsia" w:asciiTheme="minorEastAsia" w:hAnsiTheme="minorEastAsia" w:cstheme="minorEastAsia"/>
                <w:szCs w:val="21"/>
              </w:rPr>
              <w:t>3、微电脑PLC编程控制池内用水恒定可调控，泳池内水温随时监控，高温自动报警保护；液晶显示，可显示室内温度，独有的音乐播放器插头，且带有时间计时功能，自动化程度高。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10</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给排水系统</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套</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所有给排水管采用优质PP-R冷、热水管材和管件，符合GB/T 18742.2-2002中PP-R技术要求，具有耐热、耐压、保温节能、使用寿命长等优点，产品特点：无毒、无锈蚀、永不结垢、不滋生细菌、流速快、成本造价高；采用同质化学连接技术，管材、管件完全熔为一体，真正杜绝跑、冒、滴、漏，管材和管件高柔韧度，不怕严寒气温，可接受很大的膨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11</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水质处理器</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台</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除菌水处理器，不锈钢材质，多层式渗透，净化过滤水质更保证水质清洗安全，可采用反冲式维护清洗，无需更换滤芯。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12</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不锈钢下水器</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5</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全不锈钢材质，具有抗氧化、耐强酸强碱特点。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13</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卡通形象牌</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块</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3</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可爱婴儿的卡通形象牌给婴儿更多的视觉刺激。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14</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游泳脖圈</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适用于新生儿游泳。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15</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婴儿洗发帽</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2</w:t>
            </w:r>
          </w:p>
        </w:tc>
        <w:tc>
          <w:tcPr>
            <w:tcW w:w="6226" w:type="dxa"/>
            <w:vAlign w:val="center"/>
          </w:tcPr>
          <w:p>
            <w:pPr>
              <w:rPr>
                <w:rFonts w:asciiTheme="minorEastAsia" w:hAnsiTheme="minorEastAsia" w:cstheme="minorEastAsia"/>
                <w:szCs w:val="21"/>
              </w:rPr>
            </w:pPr>
            <w:r>
              <w:rPr>
                <w:rFonts w:hint="eastAsia" w:asciiTheme="minorEastAsia" w:hAnsiTheme="minorEastAsia" w:cstheme="minorEastAsia"/>
                <w:szCs w:val="21"/>
              </w:rPr>
              <w:t>有效保护婴儿眼睛及耳朵，防止进水。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17</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一次性可降解游泳池袋</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50</w:t>
            </w:r>
          </w:p>
        </w:tc>
        <w:tc>
          <w:tcPr>
            <w:tcW w:w="6226" w:type="dxa"/>
            <w:vMerge w:val="restart"/>
            <w:vAlign w:val="center"/>
          </w:tcPr>
          <w:p>
            <w:pPr>
              <w:rPr>
                <w:rFonts w:asciiTheme="minorEastAsia" w:hAnsiTheme="minorEastAsia" w:cstheme="minorEastAsia"/>
                <w:szCs w:val="21"/>
              </w:rPr>
            </w:pPr>
            <w:r>
              <w:rPr>
                <w:rFonts w:hint="eastAsia" w:asciiTheme="minorEastAsia" w:hAnsiTheme="minorEastAsia" w:cstheme="minorEastAsia"/>
                <w:szCs w:val="21"/>
              </w:rPr>
              <w:t>一次性可降解袋，将洗浴或游泳的婴儿与浴池完全隔离，消除公用浴池所引起的卫生隐患，有</w:t>
            </w:r>
            <w:r>
              <w:rPr>
                <w:rFonts w:hint="eastAsia" w:asciiTheme="minorEastAsia" w:hAnsiTheme="minorEastAsia" w:cstheme="minorEastAsia"/>
                <w:szCs w:val="21"/>
                <w:lang w:eastAsia="zh-CN"/>
              </w:rPr>
              <w:t>效</w:t>
            </w:r>
            <w:r>
              <w:rPr>
                <w:rFonts w:hint="eastAsia" w:asciiTheme="minorEastAsia" w:hAnsiTheme="minorEastAsia" w:cstheme="minorEastAsia"/>
                <w:szCs w:val="21"/>
              </w:rPr>
              <w:t>预防各种传染疾病。此袋用全新PE颗粒制造，无回料杂质，无毒无味，环保安全。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18</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一次性可降解洗礼池隔膜</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个</w:t>
            </w:r>
          </w:p>
        </w:tc>
        <w:tc>
          <w:tcPr>
            <w:tcW w:w="0" w:type="auto"/>
            <w:vAlign w:val="center"/>
          </w:tcPr>
          <w:p>
            <w:pPr>
              <w:rPr>
                <w:rFonts w:asciiTheme="minorEastAsia" w:hAnsiTheme="minorEastAsia" w:cstheme="minorEastAsia"/>
                <w:szCs w:val="21"/>
              </w:rPr>
            </w:pPr>
            <w:r>
              <w:rPr>
                <w:rFonts w:hint="eastAsia" w:asciiTheme="minorEastAsia" w:hAnsiTheme="minorEastAsia" w:cstheme="minorEastAsia"/>
                <w:szCs w:val="21"/>
              </w:rPr>
              <w:t>50</w:t>
            </w:r>
          </w:p>
        </w:tc>
        <w:tc>
          <w:tcPr>
            <w:tcW w:w="6226" w:type="dxa"/>
            <w:vMerge w:val="continue"/>
            <w:vAlign w:val="center"/>
          </w:tcPr>
          <w:p>
            <w:pPr>
              <w:rPr>
                <w:rFonts w:asciiTheme="minorEastAsia" w:hAnsiTheme="minorEastAsia" w:cstheme="minorEastAsia"/>
                <w:szCs w:val="21"/>
              </w:rPr>
            </w:pPr>
          </w:p>
        </w:tc>
      </w:tr>
      <w:bookmarkEnd w:id="0"/>
    </w:tbl>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hint="eastAsia" w:ascii="宋体" w:hAnsi="宋体" w:eastAsia="宋体" w:cs="宋体"/>
          <w:sz w:val="28"/>
          <w:szCs w:val="28"/>
          <w:lang w:val="en-US" w:eastAsia="zh-CN"/>
        </w:rPr>
      </w:pPr>
      <w:r>
        <w:rPr>
          <w:rFonts w:hint="eastAsia" w:ascii="宋体" w:hAnsi="宋体" w:cs="楷体_GB2312"/>
          <w:sz w:val="24"/>
          <w:lang w:val="zh-CN"/>
        </w:rPr>
        <w:t>产品全部供货验收合格后第一周内付90%，余款十二个月后一次付清。</w:t>
      </w:r>
    </w:p>
    <w:p/>
    <w:p/>
    <w:p/>
    <w:p>
      <w:pPr>
        <w:rPr>
          <w:rFonts w:hint="eastAsia"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2605D"/>
    <w:rsid w:val="16C27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WPS_1569911073</cp:lastModifiedBy>
  <dcterms:modified xsi:type="dcterms:W3CDTF">2021-02-25T07:51:08Z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