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00" w:firstLineChars="100"/>
        <w:jc w:val="center"/>
        <w:rPr>
          <w:rFonts w:ascii="黑体" w:hAnsi="黑体" w:eastAsia="黑体"/>
          <w:iCs/>
          <w:sz w:val="30"/>
          <w:szCs w:val="30"/>
        </w:rPr>
      </w:pPr>
      <w:r>
        <w:rPr>
          <w:rFonts w:hint="eastAsia" w:ascii="黑体" w:hAnsi="黑体" w:eastAsia="黑体"/>
          <w:sz w:val="30"/>
          <w:szCs w:val="30"/>
        </w:rPr>
        <w:t>附件</w:t>
      </w:r>
      <w:r>
        <w:rPr>
          <w:rFonts w:hint="eastAsia" w:ascii="黑体" w:hAnsi="黑体" w:eastAsia="黑体"/>
          <w:sz w:val="30"/>
          <w:szCs w:val="30"/>
          <w:lang w:val="en-US" w:eastAsia="zh-CN"/>
        </w:rPr>
        <w:t>:病理组织漂烘仪</w:t>
      </w:r>
      <w:r>
        <w:rPr>
          <w:rFonts w:hint="eastAsia" w:ascii="黑体" w:hAnsi="黑体" w:eastAsia="黑体"/>
          <w:iCs/>
          <w:sz w:val="30"/>
          <w:szCs w:val="30"/>
        </w:rPr>
        <w:t>项目采购要求</w:t>
      </w:r>
    </w:p>
    <w:p>
      <w:pPr>
        <w:spacing w:line="400" w:lineRule="exact"/>
        <w:jc w:val="center"/>
        <w:rPr>
          <w:rFonts w:ascii="宋体" w:hAnsi="宋体"/>
          <w:b/>
          <w:sz w:val="24"/>
        </w:rPr>
      </w:pPr>
    </w:p>
    <w:p>
      <w:pPr>
        <w:spacing w:line="400" w:lineRule="exact"/>
        <w:ind w:firstLine="480" w:firstLineChars="200"/>
        <w:rPr>
          <w:rFonts w:ascii="宋体" w:hAnsi="宋体"/>
          <w:bCs/>
          <w:sz w:val="24"/>
        </w:rPr>
      </w:pPr>
      <w:r>
        <w:rPr>
          <w:rFonts w:hint="eastAsia" w:ascii="宋体" w:hAnsi="宋体"/>
          <w:bCs/>
          <w:sz w:val="24"/>
        </w:rPr>
        <w:t>1、所投产品若为医疗设备，供应商必须为具有医疗器械生产企业许可证的生产商或具有医疗器械经营企业许可证的经销商（有效期内）；</w:t>
      </w:r>
    </w:p>
    <w:p>
      <w:pPr>
        <w:spacing w:line="400" w:lineRule="exact"/>
        <w:ind w:firstLine="480" w:firstLineChars="200"/>
        <w:rPr>
          <w:rFonts w:ascii="宋体" w:hAnsi="宋体"/>
          <w:bCs/>
          <w:sz w:val="24"/>
        </w:rPr>
      </w:pPr>
      <w:r>
        <w:rPr>
          <w:rFonts w:hint="eastAsia" w:ascii="宋体" w:hAnsi="宋体"/>
          <w:sz w:val="24"/>
          <w:szCs w:val="28"/>
        </w:rPr>
        <w:t>2、</w:t>
      </w:r>
      <w:r>
        <w:rPr>
          <w:rFonts w:hint="eastAsia" w:ascii="宋体" w:hAnsi="宋体"/>
          <w:sz w:val="24"/>
          <w:szCs w:val="28"/>
          <w:lang w:eastAsia="zh-CN"/>
        </w:rPr>
        <w:t>必须提供</w:t>
      </w:r>
      <w:r>
        <w:rPr>
          <w:rFonts w:hint="eastAsia" w:ascii="宋体" w:hAnsi="宋体"/>
          <w:sz w:val="24"/>
          <w:szCs w:val="28"/>
        </w:rPr>
        <w:t>所投设备的医疗器械注册证和医疗器械注册登记表（有效期内）</w:t>
      </w:r>
    </w:p>
    <w:p>
      <w:pPr>
        <w:spacing w:line="400" w:lineRule="exact"/>
        <w:ind w:firstLine="480" w:firstLineChars="200"/>
        <w:rPr>
          <w:rFonts w:hint="eastAsia" w:ascii="宋体" w:hAnsi="宋体" w:eastAsiaTheme="minorEastAsia"/>
          <w:bCs/>
          <w:sz w:val="24"/>
          <w:lang w:eastAsia="zh-CN"/>
        </w:rPr>
      </w:pPr>
      <w:r>
        <w:rPr>
          <w:rFonts w:hint="eastAsia" w:ascii="宋体" w:hAnsi="宋体"/>
          <w:bCs/>
          <w:sz w:val="24"/>
        </w:rPr>
        <w:t>3、拟提供的设备必须在供应商有效的经营许可范围内；</w:t>
      </w:r>
      <w:r>
        <w:rPr>
          <w:rFonts w:hint="eastAsia" w:ascii="宋体" w:hAnsi="宋体"/>
          <w:bCs/>
          <w:sz w:val="24"/>
          <w:lang w:eastAsia="zh-CN"/>
        </w:rPr>
        <w:t>并提供</w:t>
      </w:r>
      <w:r>
        <w:rPr>
          <w:rFonts w:hint="eastAsia" w:ascii="宋体" w:hAnsi="宋体"/>
          <w:sz w:val="24"/>
          <w:szCs w:val="28"/>
        </w:rPr>
        <w:t>所投医疗器械</w:t>
      </w:r>
      <w:r>
        <w:rPr>
          <w:rFonts w:hint="eastAsia" w:ascii="宋体" w:hAnsi="宋体"/>
          <w:sz w:val="24"/>
          <w:szCs w:val="28"/>
          <w:lang w:eastAsia="zh-CN"/>
        </w:rPr>
        <w:t>的</w:t>
      </w:r>
      <w:r>
        <w:rPr>
          <w:rFonts w:hint="eastAsia" w:ascii="宋体" w:hAnsi="宋体"/>
          <w:bCs/>
          <w:sz w:val="24"/>
          <w:lang w:eastAsia="zh-CN"/>
        </w:rPr>
        <w:t>有效授权许可证明。</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一、采购清单：</w:t>
      </w:r>
    </w:p>
    <w:tbl>
      <w:tblPr>
        <w:tblStyle w:val="2"/>
        <w:tblW w:w="0" w:type="auto"/>
        <w:jc w:val="center"/>
        <w:tblLayout w:type="fixed"/>
        <w:tblCellMar>
          <w:top w:w="0" w:type="dxa"/>
          <w:left w:w="108" w:type="dxa"/>
          <w:bottom w:w="0" w:type="dxa"/>
          <w:right w:w="108" w:type="dxa"/>
        </w:tblCellMar>
      </w:tblPr>
      <w:tblGrid>
        <w:gridCol w:w="697"/>
        <w:gridCol w:w="2506"/>
        <w:gridCol w:w="3019"/>
        <w:gridCol w:w="906"/>
        <w:gridCol w:w="906"/>
        <w:gridCol w:w="1605"/>
      </w:tblGrid>
      <w:tr>
        <w:tblPrEx>
          <w:tblCellMar>
            <w:top w:w="0" w:type="dxa"/>
            <w:left w:w="108" w:type="dxa"/>
            <w:bottom w:w="0" w:type="dxa"/>
            <w:right w:w="108" w:type="dxa"/>
          </w:tblCellMar>
        </w:tblPrEx>
        <w:trPr>
          <w:trHeight w:val="64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序号</w:t>
            </w:r>
          </w:p>
        </w:tc>
        <w:tc>
          <w:tcPr>
            <w:tcW w:w="25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项目名称</w:t>
            </w:r>
          </w:p>
        </w:tc>
        <w:tc>
          <w:tcPr>
            <w:tcW w:w="3019" w:type="dxa"/>
            <w:tcBorders>
              <w:top w:val="single" w:color="auto" w:sz="4" w:space="0"/>
              <w:left w:val="nil"/>
              <w:bottom w:val="single" w:color="auto" w:sz="4" w:space="0"/>
              <w:right w:val="single" w:color="auto" w:sz="4" w:space="0"/>
            </w:tcBorders>
            <w:vAlign w:val="center"/>
          </w:tcPr>
          <w:p>
            <w:pPr>
              <w:jc w:val="both"/>
              <w:rPr>
                <w:rFonts w:ascii="宋体" w:hAnsi="宋体" w:cs="宋体"/>
                <w:b/>
                <w:bCs/>
                <w:kern w:val="0"/>
                <w:sz w:val="24"/>
              </w:rPr>
            </w:pPr>
            <w:r>
              <w:rPr>
                <w:rFonts w:hint="eastAsia" w:ascii="宋体" w:hAnsi="宋体" w:cs="宋体"/>
                <w:b/>
                <w:bCs/>
                <w:kern w:val="0"/>
                <w:sz w:val="24"/>
              </w:rPr>
              <w:t>技术要求</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数量</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单位</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最高限价</w:t>
            </w:r>
          </w:p>
        </w:tc>
      </w:tr>
      <w:tr>
        <w:tblPrEx>
          <w:tblCellMar>
            <w:top w:w="0" w:type="dxa"/>
            <w:left w:w="108" w:type="dxa"/>
            <w:bottom w:w="0" w:type="dxa"/>
            <w:right w:w="108" w:type="dxa"/>
          </w:tblCellMar>
        </w:tblPrEx>
        <w:trPr>
          <w:trHeight w:val="69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kern w:val="0"/>
                <w:sz w:val="24"/>
              </w:rPr>
            </w:pPr>
            <w:r>
              <w:rPr>
                <w:rFonts w:hint="eastAsia" w:ascii="宋体" w:hAnsi="宋体" w:cs="宋体"/>
                <w:b/>
                <w:kern w:val="0"/>
                <w:sz w:val="24"/>
              </w:rPr>
              <w:t>1</w:t>
            </w:r>
          </w:p>
        </w:tc>
        <w:tc>
          <w:tcPr>
            <w:tcW w:w="2506" w:type="dxa"/>
            <w:tcBorders>
              <w:left w:val="nil"/>
              <w:bottom w:val="single" w:color="auto" w:sz="4" w:space="0"/>
              <w:right w:val="single" w:color="auto" w:sz="4" w:space="0"/>
            </w:tcBorders>
            <w:vAlign w:val="center"/>
          </w:tcPr>
          <w:p>
            <w:pPr>
              <w:jc w:val="both"/>
              <w:rPr>
                <w:rFonts w:hint="eastAsia" w:ascii="宋体" w:hAnsi="宋体" w:eastAsiaTheme="minorEastAsia"/>
                <w:sz w:val="24"/>
                <w:lang w:val="en-US" w:eastAsia="zh-CN"/>
              </w:rPr>
            </w:pPr>
            <w:r>
              <w:rPr>
                <w:rFonts w:hint="eastAsia" w:ascii="宋体" w:hAnsi="宋体" w:cs="宋体"/>
                <w:kern w:val="0"/>
                <w:sz w:val="24"/>
                <w:lang w:val="en-US" w:eastAsia="zh-CN"/>
              </w:rPr>
              <w:t>病理组织漂烘仪</w:t>
            </w:r>
          </w:p>
        </w:tc>
        <w:tc>
          <w:tcPr>
            <w:tcW w:w="3019" w:type="dxa"/>
            <w:tcBorders>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Theme="minorEastAsia"/>
                <w:sz w:val="24"/>
                <w:highlight w:val="yellow"/>
                <w:lang w:val="en-US" w:eastAsia="zh-CN"/>
              </w:rPr>
            </w:pPr>
            <w:r>
              <w:rPr>
                <w:rFonts w:hint="eastAsia" w:ascii="宋体" w:hAnsi="宋体" w:cs="宋体"/>
                <w:kern w:val="0"/>
                <w:sz w:val="24"/>
                <w:lang w:val="en-US" w:eastAsia="zh-CN"/>
              </w:rPr>
              <w:t>台</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lang w:val="en-US" w:eastAsia="zh-CN"/>
              </w:rPr>
              <w:t>8000</w:t>
            </w:r>
            <w:r>
              <w:rPr>
                <w:rFonts w:hint="eastAsia" w:ascii="宋体" w:hAnsi="宋体" w:cs="宋体"/>
                <w:kern w:val="0"/>
                <w:sz w:val="24"/>
              </w:rPr>
              <w:t>元</w:t>
            </w:r>
          </w:p>
        </w:tc>
      </w:tr>
      <w:tr>
        <w:tblPrEx>
          <w:tblCellMar>
            <w:top w:w="0" w:type="dxa"/>
            <w:left w:w="108" w:type="dxa"/>
            <w:bottom w:w="0" w:type="dxa"/>
            <w:right w:w="108" w:type="dxa"/>
          </w:tblCellMar>
        </w:tblPrEx>
        <w:trPr>
          <w:trHeight w:val="302" w:hRule="atLeast"/>
          <w:jc w:val="center"/>
        </w:trPr>
        <w:tc>
          <w:tcPr>
            <w:tcW w:w="9639" w:type="dxa"/>
            <w:gridSpan w:val="6"/>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ascii="宋体" w:hAnsi="宋体" w:cs="宋体"/>
                <w:bCs/>
                <w:kern w:val="0"/>
                <w:szCs w:val="21"/>
              </w:rPr>
            </w:pPr>
            <w:r>
              <w:rPr>
                <w:rFonts w:hint="eastAsia" w:ascii="宋体" w:hAnsi="宋体" w:cs="宋体"/>
                <w:bCs/>
                <w:kern w:val="0"/>
                <w:szCs w:val="21"/>
              </w:rPr>
              <w:t>注：</w:t>
            </w:r>
          </w:p>
          <w:p>
            <w:pPr>
              <w:widowControl/>
              <w:ind w:left="420" w:hanging="420" w:hangingChars="20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w:t>
            </w:r>
            <w:r>
              <w:rPr>
                <w:rFonts w:hint="eastAsia" w:ascii="宋体" w:hAnsi="宋体" w:cs="宋体"/>
                <w:bCs/>
                <w:kern w:val="0"/>
                <w:szCs w:val="21"/>
              </w:rPr>
              <w:t>交货时间：签订合同后20个自然日内，各供应商报出最早交货期限；</w:t>
            </w:r>
          </w:p>
          <w:p>
            <w:pPr>
              <w:widowControl/>
              <w:ind w:left="420" w:hanging="420" w:hangingChars="200"/>
              <w:jc w:val="lef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交货地点：采购单位指定；</w:t>
            </w:r>
          </w:p>
        </w:tc>
      </w:tr>
    </w:tbl>
    <w:p>
      <w:pPr>
        <w:spacing w:line="400" w:lineRule="exact"/>
        <w:rPr>
          <w:rFonts w:ascii="宋体" w:hAnsi="宋体" w:cs="Arial"/>
          <w:b/>
          <w:sz w:val="24"/>
        </w:rPr>
      </w:pPr>
    </w:p>
    <w:p>
      <w:pPr>
        <w:spacing w:line="400" w:lineRule="exact"/>
        <w:rPr>
          <w:rFonts w:ascii="宋体" w:hAnsi="宋体" w:cs="Arial"/>
          <w:b/>
          <w:sz w:val="24"/>
        </w:rPr>
      </w:pPr>
      <w:r>
        <w:rPr>
          <w:rFonts w:hint="eastAsia" w:ascii="宋体" w:hAnsi="宋体" w:cs="Arial"/>
          <w:b/>
          <w:sz w:val="24"/>
        </w:rPr>
        <w:t>二、详细技术参数及功能要求：</w:t>
      </w:r>
    </w:p>
    <w:p>
      <w:pPr>
        <w:spacing w:line="300" w:lineRule="auto"/>
        <w:rPr>
          <w:rStyle w:val="4"/>
          <w:rFonts w:hint="eastAsia"/>
          <w:sz w:val="24"/>
        </w:rPr>
      </w:pPr>
    </w:p>
    <w:p>
      <w:pPr>
        <w:numPr>
          <w:ilvl w:val="0"/>
          <w:numId w:val="1"/>
        </w:numPr>
        <w:rPr>
          <w:rFonts w:hint="eastAsia" w:ascii="宋体" w:hAnsi="宋体" w:cs="宋体"/>
          <w:bCs/>
          <w:kern w:val="0"/>
          <w:sz w:val="24"/>
        </w:rPr>
      </w:pPr>
      <w:r>
        <w:rPr>
          <w:rFonts w:hint="eastAsia" w:ascii="宋体" w:hAnsi="宋体" w:cs="宋体"/>
          <w:bCs/>
          <w:kern w:val="0"/>
          <w:sz w:val="24"/>
          <w:lang w:eastAsia="zh-CN"/>
        </w:rPr>
        <w:t>整机宽度＜</w:t>
      </w:r>
      <w:r>
        <w:rPr>
          <w:rFonts w:hint="eastAsia" w:ascii="宋体" w:hAnsi="宋体" w:cs="宋体"/>
          <w:bCs/>
          <w:kern w:val="0"/>
          <w:sz w:val="24"/>
          <w:lang w:val="en-US" w:eastAsia="zh-CN"/>
        </w:rPr>
        <w:t>50cm，烘片箱≥20*8cm，烤片区≥23*15cm</w:t>
      </w:r>
    </w:p>
    <w:p>
      <w:pPr>
        <w:numPr>
          <w:ilvl w:val="0"/>
          <w:numId w:val="1"/>
        </w:numPr>
        <w:topLinePunct/>
        <w:spacing w:line="360" w:lineRule="auto"/>
        <w:rPr>
          <w:rFonts w:hint="eastAsia" w:ascii="新宋体" w:hAnsi="新宋体" w:eastAsia="新宋体" w:cs="新宋体"/>
          <w:bCs/>
          <w:sz w:val="24"/>
        </w:rPr>
      </w:pPr>
      <w:r>
        <w:rPr>
          <w:rFonts w:hint="eastAsia" w:ascii="宋体" w:hAnsi="宋体" w:eastAsia="新宋体" w:cs="宋体"/>
          <w:bCs/>
          <w:sz w:val="24"/>
          <w:lang w:eastAsia="zh-CN"/>
        </w:rPr>
        <w:t>温度设置及</w:t>
      </w:r>
      <w:r>
        <w:rPr>
          <w:rFonts w:hint="eastAsia" w:ascii="新宋体" w:hAnsi="新宋体" w:eastAsia="新宋体" w:cs="新宋体"/>
          <w:sz w:val="24"/>
          <w:lang w:eastAsia="zh-CN"/>
        </w:rPr>
        <w:t>可控</w:t>
      </w:r>
      <w:r>
        <w:rPr>
          <w:rFonts w:hint="eastAsia" w:ascii="新宋体" w:hAnsi="新宋体" w:eastAsia="新宋体" w:cs="新宋体"/>
          <w:sz w:val="24"/>
        </w:rPr>
        <w:t>范围：</w:t>
      </w:r>
      <w:r>
        <w:rPr>
          <w:rFonts w:hint="eastAsia" w:ascii="新宋体" w:hAnsi="新宋体" w:eastAsia="新宋体" w:cs="新宋体"/>
          <w:sz w:val="24"/>
          <w:lang w:eastAsia="zh-CN"/>
        </w:rPr>
        <w:t>不少于常温</w:t>
      </w:r>
      <w:r>
        <w:rPr>
          <w:rFonts w:hint="eastAsia" w:ascii="新宋体" w:hAnsi="新宋体" w:eastAsia="新宋体" w:cs="新宋体"/>
          <w:sz w:val="24"/>
          <w:lang w:val="en-US" w:eastAsia="zh-CN"/>
        </w:rPr>
        <w:t>-99℃</w:t>
      </w:r>
    </w:p>
    <w:p>
      <w:pPr>
        <w:numPr>
          <w:ilvl w:val="0"/>
          <w:numId w:val="1"/>
        </w:numPr>
        <w:spacing w:line="420" w:lineRule="exact"/>
        <w:rPr>
          <w:rFonts w:hint="eastAsia" w:ascii="宋体" w:hAnsi="宋体" w:cs="宋体"/>
          <w:bCs/>
          <w:kern w:val="0"/>
          <w:sz w:val="24"/>
        </w:rPr>
      </w:pPr>
      <w:r>
        <w:rPr>
          <w:rFonts w:hint="eastAsia" w:ascii="宋体" w:hAnsi="宋体" w:cs="宋体"/>
          <w:bCs/>
          <w:sz w:val="24"/>
        </w:rPr>
        <w:t>*</w:t>
      </w:r>
      <w:r>
        <w:rPr>
          <w:rFonts w:hint="eastAsia" w:ascii="宋体" w:hAnsi="宋体" w:cs="宋体"/>
          <w:bCs/>
          <w:kern w:val="0"/>
          <w:sz w:val="24"/>
          <w:lang w:eastAsia="zh-CN"/>
        </w:rPr>
        <w:t>温控性能稳定，精准度高</w:t>
      </w:r>
      <w:r>
        <w:rPr>
          <w:rFonts w:hint="eastAsia" w:ascii="宋体" w:hAnsi="宋体" w:cs="宋体"/>
          <w:bCs/>
          <w:kern w:val="0"/>
          <w:sz w:val="24"/>
        </w:rPr>
        <w:t xml:space="preserve">                       </w:t>
      </w:r>
    </w:p>
    <w:p>
      <w:pPr>
        <w:numPr>
          <w:ilvl w:val="0"/>
          <w:numId w:val="1"/>
        </w:numPr>
        <w:spacing w:line="420" w:lineRule="exact"/>
        <w:ind w:left="0" w:leftChars="0" w:firstLine="0" w:firstLineChars="0"/>
        <w:rPr>
          <w:rFonts w:hint="eastAsia" w:ascii="宋体" w:hAnsi="宋体" w:cs="宋体"/>
          <w:bCs/>
          <w:sz w:val="24"/>
          <w:lang w:val="en-US" w:eastAsia="zh-CN"/>
        </w:rPr>
      </w:pPr>
      <w:r>
        <w:rPr>
          <w:rFonts w:hint="eastAsia" w:ascii="宋体" w:hAnsi="宋体" w:cs="宋体"/>
          <w:bCs/>
          <w:sz w:val="24"/>
          <w:lang w:val="en-US" w:eastAsia="zh-CN"/>
        </w:rPr>
        <w:t>达到设定温度时间＜15分钟</w:t>
      </w:r>
    </w:p>
    <w:p>
      <w:pPr>
        <w:numPr>
          <w:ilvl w:val="0"/>
          <w:numId w:val="1"/>
        </w:numPr>
        <w:spacing w:line="420" w:lineRule="exact"/>
        <w:ind w:left="0" w:leftChars="0" w:firstLine="0" w:firstLineChars="0"/>
        <w:rPr>
          <w:rFonts w:hint="eastAsia" w:ascii="宋体" w:hAnsi="宋体" w:cs="宋体"/>
          <w:bCs/>
          <w:kern w:val="0"/>
          <w:sz w:val="24"/>
        </w:rPr>
      </w:pPr>
      <w:r>
        <w:rPr>
          <w:rFonts w:hint="eastAsia" w:ascii="宋体" w:hAnsi="宋体" w:cs="宋体"/>
          <w:bCs/>
          <w:sz w:val="24"/>
          <w:lang w:eastAsia="zh-CN"/>
        </w:rPr>
        <w:t>数码显示屏，带触摸键盘</w:t>
      </w:r>
    </w:p>
    <w:p>
      <w:pPr>
        <w:numPr>
          <w:ilvl w:val="0"/>
          <w:numId w:val="1"/>
        </w:numPr>
        <w:spacing w:line="420" w:lineRule="exact"/>
        <w:ind w:left="0" w:leftChars="0" w:firstLine="0" w:firstLineChars="0"/>
        <w:rPr>
          <w:rFonts w:hint="eastAsia" w:ascii="宋体" w:hAnsi="宋体" w:cs="宋体"/>
          <w:bCs/>
          <w:kern w:val="0"/>
          <w:sz w:val="24"/>
          <w:lang w:eastAsia="zh-CN"/>
        </w:rPr>
      </w:pPr>
      <w:r>
        <w:rPr>
          <w:rFonts w:hint="eastAsia" w:ascii="宋体" w:hAnsi="宋体" w:cs="宋体"/>
          <w:bCs/>
          <w:sz w:val="24"/>
        </w:rPr>
        <w:t>*</w:t>
      </w:r>
      <w:r>
        <w:rPr>
          <w:rFonts w:hint="eastAsia" w:ascii="宋体" w:hAnsi="宋体" w:cs="宋体"/>
          <w:bCs/>
          <w:kern w:val="0"/>
          <w:sz w:val="24"/>
          <w:lang w:eastAsia="zh-CN"/>
        </w:rPr>
        <w:t>漂片缸可与整机分离</w:t>
      </w:r>
    </w:p>
    <w:p>
      <w:pPr>
        <w:numPr>
          <w:ilvl w:val="0"/>
          <w:numId w:val="1"/>
        </w:numPr>
        <w:spacing w:line="420" w:lineRule="exact"/>
        <w:ind w:left="0" w:leftChars="0" w:firstLine="0" w:firstLineChars="0"/>
        <w:rPr>
          <w:rFonts w:hint="eastAsia" w:ascii="宋体" w:hAnsi="宋体" w:cs="宋体"/>
          <w:bCs/>
          <w:kern w:val="0"/>
          <w:sz w:val="24"/>
          <w:lang w:eastAsia="zh-CN"/>
        </w:rPr>
      </w:pPr>
      <w:r>
        <w:rPr>
          <w:rFonts w:hint="eastAsia" w:ascii="宋体" w:hAnsi="宋体" w:cs="宋体"/>
          <w:bCs/>
          <w:kern w:val="0"/>
          <w:sz w:val="24"/>
          <w:lang w:eastAsia="zh-CN"/>
        </w:rPr>
        <w:t>电源电压</w:t>
      </w:r>
      <w:r>
        <w:rPr>
          <w:rFonts w:hint="eastAsia" w:ascii="宋体" w:hAnsi="宋体" w:cs="宋体"/>
          <w:bCs/>
          <w:kern w:val="0"/>
          <w:sz w:val="24"/>
          <w:lang w:val="en-US" w:eastAsia="zh-CN"/>
        </w:rPr>
        <w:t>220V</w:t>
      </w:r>
    </w:p>
    <w:p>
      <w:pPr>
        <w:spacing w:line="300" w:lineRule="auto"/>
        <w:rPr>
          <w:rStyle w:val="4"/>
          <w:rFonts w:hint="default" w:eastAsia="宋体"/>
          <w:b/>
          <w:bCs/>
          <w:sz w:val="24"/>
          <w:lang w:val="en-US" w:eastAsia="zh-CN"/>
        </w:rPr>
      </w:pPr>
      <w:r>
        <w:rPr>
          <w:rFonts w:hint="eastAsia" w:ascii="黑体" w:eastAsia="黑体"/>
          <w:b/>
          <w:sz w:val="36"/>
          <w:szCs w:val="36"/>
        </w:rPr>
        <w:t xml:space="preserve">     </w:t>
      </w:r>
    </w:p>
    <w:p>
      <w:p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三、备件及资料：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四、技术培训：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五、安装及验收：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1、在货物到达使用单位后卖方应在5天内派工程技术人员到买方开箱安装调试并承担由此产生的一切费用。</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2、设备安装后，按国际和国家标准及厂方标准进行质量验收。卖方应向买方提供详细的验收标准，验收专用仪器，并承担相关费用。</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六、质量保证及售后服务：</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1、免费保修期≥二年。</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3、设备有故障，卖方应在接到买方通知后24小时内到达买方单位并及时有效地排除故障。</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七、付款方式：</w:t>
      </w:r>
    </w:p>
    <w:p>
      <w:pPr>
        <w:autoSpaceDE w:val="0"/>
        <w:autoSpaceDN w:val="0"/>
        <w:adjustRightInd w:val="0"/>
        <w:spacing w:line="400" w:lineRule="exact"/>
        <w:ind w:firstLine="600" w:firstLineChars="250"/>
        <w:rPr>
          <w:rFonts w:hint="eastAsia" w:ascii="宋体" w:hAnsi="宋体" w:eastAsia="宋体" w:cs="宋体"/>
          <w:sz w:val="28"/>
          <w:szCs w:val="28"/>
          <w:lang w:val="en-US" w:eastAsia="zh-CN"/>
        </w:rPr>
      </w:pPr>
      <w:r>
        <w:rPr>
          <w:rFonts w:hint="eastAsia" w:ascii="宋体" w:hAnsi="宋体" w:cs="楷体_GB2312"/>
          <w:sz w:val="24"/>
          <w:lang w:val="zh-CN"/>
        </w:rPr>
        <w:t>产品全部供货验收合格后第一周内付90%，余款十二个月后一次付清。</w:t>
      </w: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Microsoft YaHei">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B5178"/>
    <w:multiLevelType w:val="singleLevel"/>
    <w:tmpl w:val="424B517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93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fwh</cp:lastModifiedBy>
  <dcterms:modified xsi:type="dcterms:W3CDTF">2021-01-03T07:36:01Z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