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iCs/>
          <w:sz w:val="30"/>
          <w:szCs w:val="30"/>
        </w:rPr>
      </w:pPr>
      <w:r>
        <w:rPr>
          <w:rFonts w:hint="eastAsia" w:ascii="黑体" w:hAnsi="黑体" w:eastAsia="黑体"/>
          <w:sz w:val="30"/>
          <w:szCs w:val="30"/>
        </w:rPr>
        <w:t>附件:</w:t>
      </w:r>
      <w:r>
        <w:rPr>
          <w:rFonts w:hint="eastAsia" w:ascii="黑体" w:hAnsi="黑体" w:eastAsia="黑体"/>
          <w:sz w:val="30"/>
          <w:szCs w:val="30"/>
          <w:lang w:eastAsia="zh-CN"/>
        </w:rPr>
        <w:t>心电监护仪</w:t>
      </w:r>
      <w:r>
        <w:rPr>
          <w:rFonts w:hint="eastAsia" w:ascii="黑体" w:hAnsi="黑体" w:eastAsia="黑体"/>
          <w:iCs/>
          <w:sz w:val="30"/>
          <w:szCs w:val="30"/>
        </w:rPr>
        <w:t>项目采购要求</w:t>
      </w:r>
    </w:p>
    <w:p>
      <w:pPr>
        <w:spacing w:line="400" w:lineRule="exact"/>
        <w:jc w:val="center"/>
        <w:rPr>
          <w:rFonts w:ascii="宋体" w:hAnsi="宋体"/>
          <w:b/>
          <w:sz w:val="24"/>
        </w:rPr>
      </w:pPr>
    </w:p>
    <w:p>
      <w:pPr>
        <w:spacing w:line="400" w:lineRule="exact"/>
        <w:ind w:firstLine="480" w:firstLineChars="200"/>
        <w:rPr>
          <w:rFonts w:ascii="宋体" w:hAnsi="宋体"/>
          <w:bCs/>
          <w:sz w:val="24"/>
        </w:rPr>
      </w:pPr>
      <w:r>
        <w:rPr>
          <w:rFonts w:hint="eastAsia" w:ascii="宋体" w:hAnsi="宋体"/>
          <w:bCs/>
          <w:sz w:val="24"/>
        </w:rPr>
        <w:t>1、所投产品若为医疗设备，供应商必须为具有医疗器械生产企业许可证的生产商或具有医疗器械经营企业许可证的经销商（有效期内）；</w:t>
      </w:r>
    </w:p>
    <w:p>
      <w:pPr>
        <w:spacing w:line="400" w:lineRule="exact"/>
        <w:ind w:firstLine="480" w:firstLineChars="200"/>
        <w:rPr>
          <w:rFonts w:ascii="宋体" w:hAnsi="宋体"/>
          <w:bCs/>
          <w:sz w:val="24"/>
        </w:rPr>
      </w:pPr>
      <w:r>
        <w:rPr>
          <w:rFonts w:hint="eastAsia" w:ascii="宋体" w:hAnsi="宋体"/>
          <w:sz w:val="24"/>
          <w:szCs w:val="28"/>
        </w:rPr>
        <w:t>2、</w:t>
      </w:r>
      <w:r>
        <w:rPr>
          <w:rFonts w:hint="eastAsia" w:ascii="宋体" w:hAnsi="宋体"/>
          <w:sz w:val="24"/>
          <w:szCs w:val="28"/>
          <w:lang w:eastAsia="zh-CN"/>
        </w:rPr>
        <w:t>必须提供</w:t>
      </w:r>
      <w:r>
        <w:rPr>
          <w:rFonts w:hint="eastAsia" w:ascii="宋体" w:hAnsi="宋体"/>
          <w:sz w:val="24"/>
          <w:szCs w:val="28"/>
        </w:rPr>
        <w:t>所投设备的医疗器械注册证和医疗器械注册登记表（有效期内）</w:t>
      </w:r>
    </w:p>
    <w:p>
      <w:pPr>
        <w:spacing w:line="400" w:lineRule="exact"/>
        <w:ind w:firstLine="480" w:firstLineChars="200"/>
        <w:rPr>
          <w:rFonts w:hint="eastAsia" w:ascii="宋体" w:hAnsi="宋体" w:eastAsiaTheme="minorEastAsia"/>
          <w:bCs/>
          <w:sz w:val="24"/>
          <w:lang w:eastAsia="zh-CN"/>
        </w:rPr>
      </w:pPr>
      <w:r>
        <w:rPr>
          <w:rFonts w:hint="eastAsia" w:ascii="宋体" w:hAnsi="宋体"/>
          <w:bCs/>
          <w:sz w:val="24"/>
        </w:rPr>
        <w:t>3、拟提供的设备必须在供应商有效的经营许可范围内；</w:t>
      </w:r>
      <w:r>
        <w:rPr>
          <w:rFonts w:hint="eastAsia" w:ascii="宋体" w:hAnsi="宋体"/>
          <w:bCs/>
          <w:sz w:val="24"/>
          <w:lang w:eastAsia="zh-CN"/>
        </w:rPr>
        <w:t>并提供</w:t>
      </w:r>
      <w:r>
        <w:rPr>
          <w:rFonts w:hint="eastAsia" w:ascii="宋体" w:hAnsi="宋体"/>
          <w:sz w:val="24"/>
          <w:szCs w:val="28"/>
        </w:rPr>
        <w:t>所投医疗器械</w:t>
      </w:r>
      <w:r>
        <w:rPr>
          <w:rFonts w:hint="eastAsia" w:ascii="宋体" w:hAnsi="宋体"/>
          <w:sz w:val="24"/>
          <w:szCs w:val="28"/>
          <w:lang w:eastAsia="zh-CN"/>
        </w:rPr>
        <w:t>的</w:t>
      </w:r>
      <w:r>
        <w:rPr>
          <w:rFonts w:hint="eastAsia" w:ascii="宋体" w:hAnsi="宋体"/>
          <w:bCs/>
          <w:sz w:val="24"/>
          <w:lang w:eastAsia="zh-CN"/>
        </w:rPr>
        <w:t>有效授权许可证明。</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一、采购清单：</w:t>
      </w:r>
    </w:p>
    <w:tbl>
      <w:tblPr>
        <w:tblStyle w:val="2"/>
        <w:tblW w:w="0" w:type="auto"/>
        <w:jc w:val="center"/>
        <w:tblLayout w:type="fixed"/>
        <w:tblCellMar>
          <w:top w:w="0" w:type="dxa"/>
          <w:left w:w="108" w:type="dxa"/>
          <w:bottom w:w="0" w:type="dxa"/>
          <w:right w:w="108" w:type="dxa"/>
        </w:tblCellMar>
      </w:tblPr>
      <w:tblGrid>
        <w:gridCol w:w="697"/>
        <w:gridCol w:w="2506"/>
        <w:gridCol w:w="3019"/>
        <w:gridCol w:w="906"/>
        <w:gridCol w:w="906"/>
        <w:gridCol w:w="1605"/>
      </w:tblGrid>
      <w:tr>
        <w:tblPrEx>
          <w:tblCellMar>
            <w:top w:w="0" w:type="dxa"/>
            <w:left w:w="108" w:type="dxa"/>
            <w:bottom w:w="0" w:type="dxa"/>
            <w:right w:w="108" w:type="dxa"/>
          </w:tblCellMar>
        </w:tblPrEx>
        <w:trPr>
          <w:trHeight w:val="64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5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项目名称</w:t>
            </w:r>
          </w:p>
        </w:tc>
        <w:tc>
          <w:tcPr>
            <w:tcW w:w="301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技术要求</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最高限价</w:t>
            </w:r>
          </w:p>
        </w:tc>
      </w:tr>
      <w:tr>
        <w:tblPrEx>
          <w:tblCellMar>
            <w:top w:w="0" w:type="dxa"/>
            <w:left w:w="108" w:type="dxa"/>
            <w:bottom w:w="0" w:type="dxa"/>
            <w:right w:w="108" w:type="dxa"/>
          </w:tblCellMar>
        </w:tblPrEx>
        <w:trPr>
          <w:trHeight w:val="3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4"/>
              </w:rPr>
              <w:t>1</w:t>
            </w:r>
          </w:p>
        </w:tc>
        <w:tc>
          <w:tcPr>
            <w:tcW w:w="2506" w:type="dxa"/>
            <w:tcBorders>
              <w:left w:val="nil"/>
              <w:bottom w:val="single" w:color="auto" w:sz="4" w:space="0"/>
              <w:right w:val="single" w:color="auto" w:sz="4" w:space="0"/>
            </w:tcBorders>
            <w:vAlign w:val="center"/>
          </w:tcPr>
          <w:p>
            <w:pPr>
              <w:jc w:val="center"/>
              <w:rPr>
                <w:rFonts w:hint="eastAsia" w:ascii="宋体" w:hAnsi="宋体" w:eastAsiaTheme="minorEastAsia"/>
                <w:sz w:val="24"/>
                <w:lang w:val="en-US" w:eastAsia="zh-CN"/>
              </w:rPr>
            </w:pPr>
            <w:r>
              <w:rPr>
                <w:rFonts w:hint="eastAsia" w:ascii="宋体" w:hAnsi="宋体" w:cs="宋体"/>
                <w:kern w:val="0"/>
                <w:sz w:val="24"/>
                <w:lang w:eastAsia="zh-CN"/>
              </w:rPr>
              <w:t>心电监护仪</w:t>
            </w:r>
          </w:p>
        </w:tc>
        <w:tc>
          <w:tcPr>
            <w:tcW w:w="3019" w:type="dxa"/>
            <w:tcBorders>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Theme="minorEastAsia"/>
                <w:sz w:val="24"/>
                <w:highlight w:val="yellow"/>
                <w:lang w:eastAsia="zh-CN"/>
              </w:rPr>
            </w:pPr>
            <w:r>
              <w:rPr>
                <w:rFonts w:hint="eastAsia" w:ascii="宋体" w:hAnsi="宋体" w:cs="宋体"/>
                <w:kern w:val="0"/>
                <w:sz w:val="24"/>
                <w:lang w:eastAsia="zh-CN"/>
              </w:rPr>
              <w:t>台</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10</w:t>
            </w:r>
            <w:r>
              <w:rPr>
                <w:rFonts w:hint="eastAsia" w:ascii="宋体" w:hAnsi="宋体" w:cs="宋体"/>
                <w:kern w:val="0"/>
                <w:sz w:val="24"/>
              </w:rPr>
              <w:t>000元</w:t>
            </w:r>
          </w:p>
        </w:tc>
      </w:tr>
      <w:tr>
        <w:tblPrEx>
          <w:tblCellMar>
            <w:top w:w="0" w:type="dxa"/>
            <w:left w:w="108" w:type="dxa"/>
            <w:bottom w:w="0" w:type="dxa"/>
            <w:right w:w="108" w:type="dxa"/>
          </w:tblCellMar>
        </w:tblPrEx>
        <w:trPr>
          <w:trHeight w:val="302" w:hRule="atLeast"/>
          <w:jc w:val="center"/>
        </w:trPr>
        <w:tc>
          <w:tcPr>
            <w:tcW w:w="9639" w:type="dxa"/>
            <w:gridSpan w:val="6"/>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ascii="宋体" w:hAnsi="宋体" w:cs="宋体"/>
                <w:bCs/>
                <w:kern w:val="0"/>
                <w:szCs w:val="21"/>
              </w:rPr>
            </w:pPr>
            <w:r>
              <w:rPr>
                <w:rFonts w:hint="eastAsia" w:ascii="宋体" w:hAnsi="宋体" w:cs="宋体"/>
                <w:bCs/>
                <w:kern w:val="0"/>
                <w:szCs w:val="21"/>
              </w:rPr>
              <w:t>注：</w:t>
            </w:r>
          </w:p>
          <w:p>
            <w:pPr>
              <w:widowControl/>
              <w:ind w:left="420" w:hanging="420" w:hangingChars="20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w:t>
            </w:r>
            <w:r>
              <w:rPr>
                <w:rFonts w:hint="eastAsia" w:ascii="宋体" w:hAnsi="宋体" w:cs="宋体"/>
                <w:bCs/>
                <w:kern w:val="0"/>
                <w:szCs w:val="21"/>
              </w:rPr>
              <w:t>交货时间：签订合同后20个自然日内，各供应商报出最早交货期限；</w:t>
            </w:r>
          </w:p>
          <w:p>
            <w:pPr>
              <w:widowControl/>
              <w:ind w:left="420" w:hanging="420" w:hangingChars="200"/>
              <w:jc w:val="lef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交货地点：采购单位指定；</w:t>
            </w:r>
          </w:p>
        </w:tc>
      </w:tr>
    </w:tbl>
    <w:p>
      <w:pPr>
        <w:spacing w:line="400" w:lineRule="exact"/>
        <w:rPr>
          <w:rFonts w:ascii="宋体" w:hAnsi="宋体" w:cs="Arial"/>
          <w:b/>
          <w:sz w:val="24"/>
        </w:rPr>
      </w:pPr>
    </w:p>
    <w:p>
      <w:pPr>
        <w:spacing w:line="400" w:lineRule="exact"/>
        <w:rPr>
          <w:rFonts w:ascii="宋体" w:hAnsi="宋体" w:cs="Arial"/>
          <w:b/>
          <w:sz w:val="24"/>
        </w:rPr>
      </w:pPr>
      <w:r>
        <w:rPr>
          <w:rFonts w:hint="eastAsia" w:ascii="宋体" w:hAnsi="宋体" w:cs="Arial"/>
          <w:b/>
          <w:sz w:val="24"/>
        </w:rPr>
        <w:t>二、详细技术参数及功能要求：</w:t>
      </w:r>
    </w:p>
    <w:p>
      <w:pPr>
        <w:spacing w:line="300" w:lineRule="auto"/>
        <w:rPr>
          <w:rStyle w:val="4"/>
          <w:rFonts w:hint="eastAsia"/>
          <w:sz w:val="24"/>
        </w:rPr>
      </w:pPr>
    </w:p>
    <w:p>
      <w:pPr>
        <w:autoSpaceDE w:val="0"/>
        <w:autoSpaceDN w:val="0"/>
        <w:adjustRightInd w:val="0"/>
        <w:spacing w:line="360" w:lineRule="auto"/>
        <w:ind w:firstLine="354" w:firstLineChars="147"/>
        <w:jc w:val="left"/>
        <w:rPr>
          <w:rFonts w:ascii="宋体" w:hAnsi="宋体"/>
          <w:sz w:val="24"/>
          <w:szCs w:val="24"/>
        </w:rPr>
      </w:pPr>
      <w:r>
        <w:rPr>
          <w:rFonts w:hint="eastAsia" w:ascii="宋体" w:hAnsi="宋体" w:cs="宋体"/>
          <w:b/>
          <w:kern w:val="0"/>
          <w:sz w:val="24"/>
          <w:szCs w:val="24"/>
        </w:rPr>
        <w:t xml:space="preserve">  </w:t>
      </w:r>
      <w:r>
        <w:rPr>
          <w:rFonts w:hint="eastAsia" w:ascii="宋体" w:hAnsi="宋体" w:cs="宋体"/>
          <w:kern w:val="0"/>
          <w:sz w:val="24"/>
          <w:szCs w:val="24"/>
        </w:rPr>
        <w:t>1、</w:t>
      </w:r>
      <w:r>
        <w:rPr>
          <w:rFonts w:hint="eastAsia" w:ascii="宋体" w:hAnsi="宋体"/>
          <w:sz w:val="24"/>
          <w:szCs w:val="24"/>
          <w:shd w:val="clear" w:color="auto" w:fill="FFFFFF"/>
        </w:rPr>
        <w:t>★</w:t>
      </w:r>
      <w:r>
        <w:rPr>
          <w:rFonts w:hint="eastAsia"/>
          <w:sz w:val="24"/>
          <w:szCs w:val="24"/>
        </w:rPr>
        <w:t>国家三类注册；适用范围：成人、小儿、新生儿</w:t>
      </w:r>
    </w:p>
    <w:p>
      <w:pPr>
        <w:autoSpaceDE w:val="0"/>
        <w:autoSpaceDN w:val="0"/>
        <w:adjustRightInd w:val="0"/>
        <w:spacing w:line="360" w:lineRule="auto"/>
        <w:ind w:firstLine="352" w:firstLineChars="147"/>
        <w:jc w:val="left"/>
        <w:rPr>
          <w:rFonts w:ascii="宋体" w:hAnsi="宋体" w:cs="宋体"/>
          <w:b/>
          <w:kern w:val="0"/>
          <w:sz w:val="24"/>
          <w:szCs w:val="24"/>
        </w:rPr>
      </w:pPr>
      <w:r>
        <w:rPr>
          <w:rFonts w:hint="eastAsia" w:ascii="宋体" w:hAnsi="宋体"/>
          <w:sz w:val="24"/>
          <w:szCs w:val="24"/>
        </w:rPr>
        <w:t xml:space="preserve">  2、 </w:t>
      </w:r>
      <w:r>
        <w:rPr>
          <w:rFonts w:hint="eastAsia" w:ascii="宋体" w:hAnsi="宋体"/>
          <w:color w:val="000000"/>
          <w:sz w:val="24"/>
          <w:szCs w:val="24"/>
        </w:rPr>
        <w:t>具体技术参数要求：</w:t>
      </w:r>
    </w:p>
    <w:p>
      <w:pPr>
        <w:spacing w:line="360" w:lineRule="auto"/>
        <w:ind w:right="-512" w:rightChars="-244" w:firstLine="600" w:firstLineChars="250"/>
        <w:rPr>
          <w:rFonts w:ascii="宋体" w:hAnsi="宋体"/>
          <w:sz w:val="24"/>
          <w:szCs w:val="24"/>
        </w:rPr>
      </w:pPr>
      <w:r>
        <w:rPr>
          <w:rFonts w:hint="eastAsia" w:ascii="宋体" w:hAnsi="宋体"/>
          <w:sz w:val="24"/>
          <w:szCs w:val="24"/>
        </w:rPr>
        <w:t>2.1投标产品标配可监测心电、呼吸、无创血压、血氧饱和度、脉搏和体温。</w:t>
      </w:r>
    </w:p>
    <w:p>
      <w:pPr>
        <w:spacing w:line="360" w:lineRule="auto"/>
        <w:ind w:right="-512" w:rightChars="-244" w:firstLine="600" w:firstLineChars="250"/>
        <w:rPr>
          <w:rFonts w:ascii="宋体" w:hAnsi="宋体"/>
          <w:sz w:val="24"/>
          <w:szCs w:val="24"/>
        </w:rPr>
      </w:pPr>
      <w:r>
        <w:rPr>
          <w:rFonts w:hint="eastAsia" w:ascii="宋体" w:hAnsi="宋体"/>
          <w:sz w:val="24"/>
          <w:szCs w:val="24"/>
        </w:rPr>
        <w:t>2.2</w:t>
      </w:r>
      <w:r>
        <w:rPr>
          <w:rFonts w:hint="eastAsia" w:ascii="宋体" w:hAnsi="宋体"/>
          <w:sz w:val="24"/>
          <w:szCs w:val="24"/>
          <w:shd w:val="clear" w:color="auto" w:fill="FFFFFF"/>
        </w:rPr>
        <w:t>★</w:t>
      </w:r>
      <w:r>
        <w:rPr>
          <w:rFonts w:hint="eastAsia" w:ascii="宋体" w:hAnsi="宋体"/>
          <w:sz w:val="24"/>
          <w:szCs w:val="24"/>
        </w:rPr>
        <w:t>可选配升级有创血压、有创心排量、二氧化碳（CO2）监测（以中华人民共和国食品药品监督管理局颁发的医疗器械注册证为准）</w:t>
      </w:r>
    </w:p>
    <w:p>
      <w:pPr>
        <w:spacing w:line="360" w:lineRule="auto"/>
        <w:ind w:right="-512" w:rightChars="-244" w:firstLine="600" w:firstLineChars="250"/>
        <w:rPr>
          <w:rFonts w:ascii="宋体" w:hAnsi="宋体"/>
          <w:sz w:val="24"/>
          <w:szCs w:val="24"/>
        </w:rPr>
      </w:pPr>
      <w:r>
        <w:rPr>
          <w:rFonts w:hint="eastAsia" w:ascii="宋体" w:hAnsi="宋体"/>
          <w:sz w:val="24"/>
          <w:szCs w:val="24"/>
        </w:rPr>
        <w:t>2.3具备ECG多导同步心律失常分析，在部分导联脱落、受干扰时仍能准确监测心率；提升心律失常识别准确率。</w:t>
      </w:r>
    </w:p>
    <w:p>
      <w:pPr>
        <w:spacing w:line="360" w:lineRule="auto"/>
        <w:ind w:right="-512" w:rightChars="-244" w:firstLine="600" w:firstLineChars="250"/>
        <w:rPr>
          <w:rFonts w:ascii="宋体" w:hAnsi="宋体"/>
          <w:sz w:val="24"/>
          <w:szCs w:val="24"/>
        </w:rPr>
      </w:pPr>
      <w:r>
        <w:rPr>
          <w:rFonts w:hint="eastAsia" w:ascii="宋体" w:hAnsi="宋体" w:cs="宋体"/>
          <w:color w:val="000000"/>
          <w:kern w:val="0"/>
          <w:sz w:val="24"/>
          <w:szCs w:val="24"/>
        </w:rPr>
        <w:t>2.4支持实时连续心律失常分析及ST段分析功能</w:t>
      </w:r>
    </w:p>
    <w:p>
      <w:pPr>
        <w:spacing w:line="360" w:lineRule="auto"/>
        <w:ind w:right="-512" w:rightChars="-244" w:firstLine="600" w:firstLineChars="250"/>
        <w:rPr>
          <w:rFonts w:ascii="宋体" w:hAnsi="宋体"/>
          <w:sz w:val="24"/>
          <w:szCs w:val="24"/>
        </w:rPr>
      </w:pPr>
      <w:r>
        <w:rPr>
          <w:rFonts w:hint="eastAsia" w:ascii="宋体" w:hAnsi="宋体"/>
          <w:sz w:val="24"/>
          <w:szCs w:val="24"/>
        </w:rPr>
        <w:t>2.5心律失常分析种类不少于22种。</w:t>
      </w:r>
    </w:p>
    <w:p>
      <w:pPr>
        <w:spacing w:line="360" w:lineRule="auto"/>
        <w:ind w:right="-512" w:rightChars="-244" w:firstLine="600" w:firstLineChars="250"/>
        <w:rPr>
          <w:rFonts w:ascii="宋体" w:hAnsi="宋体"/>
          <w:sz w:val="24"/>
          <w:szCs w:val="24"/>
        </w:rPr>
      </w:pPr>
      <w:r>
        <w:rPr>
          <w:rFonts w:hint="eastAsia" w:ascii="宋体" w:hAnsi="宋体"/>
          <w:sz w:val="24"/>
          <w:szCs w:val="24"/>
        </w:rPr>
        <w:t>2.6支持阻抗呼吸监测，监测导联I导和II导可选，具有自动识别信号较好的导联功能，能有效避免干扰。</w:t>
      </w:r>
    </w:p>
    <w:p>
      <w:pPr>
        <w:spacing w:line="360" w:lineRule="auto"/>
        <w:ind w:right="-512" w:rightChars="-244" w:firstLine="600" w:firstLineChars="250"/>
        <w:rPr>
          <w:rFonts w:ascii="宋体" w:hAnsi="宋体"/>
          <w:sz w:val="24"/>
          <w:szCs w:val="24"/>
        </w:rPr>
      </w:pPr>
      <w:r>
        <w:rPr>
          <w:rFonts w:hint="eastAsia" w:ascii="宋体" w:hAnsi="宋体"/>
          <w:sz w:val="24"/>
          <w:szCs w:val="24"/>
        </w:rPr>
        <w:t>2.7</w:t>
      </w:r>
      <w:r>
        <w:rPr>
          <w:rFonts w:hint="eastAsia" w:ascii="宋体" w:hAnsi="宋体"/>
          <w:sz w:val="24"/>
          <w:szCs w:val="24"/>
          <w:shd w:val="clear" w:color="auto" w:fill="FFFFFF"/>
        </w:rPr>
        <w:t>★</w:t>
      </w:r>
      <w:r>
        <w:rPr>
          <w:rFonts w:hint="eastAsia" w:ascii="宋体" w:hAnsi="宋体"/>
          <w:sz w:val="24"/>
          <w:szCs w:val="24"/>
        </w:rPr>
        <w:t>血氧饱和度监测能有效的抗运动干扰和弱灌注干扰能力强，除血氧饱和度数值外，还可以显示PI（血氧灌注指数），有效反映血流灌注情况。</w:t>
      </w:r>
    </w:p>
    <w:p>
      <w:pPr>
        <w:spacing w:line="360" w:lineRule="auto"/>
        <w:ind w:right="-512" w:rightChars="-244" w:firstLine="600" w:firstLineChars="250"/>
        <w:rPr>
          <w:rFonts w:ascii="宋体" w:hAnsi="宋体"/>
          <w:sz w:val="24"/>
          <w:szCs w:val="24"/>
        </w:rPr>
      </w:pPr>
      <w:r>
        <w:rPr>
          <w:rFonts w:hint="eastAsia" w:ascii="宋体" w:hAnsi="宋体"/>
          <w:sz w:val="24"/>
          <w:szCs w:val="24"/>
        </w:rPr>
        <w:t>2.8支持血氧饱和度、无创血压监测同侧测量。</w:t>
      </w:r>
    </w:p>
    <w:p>
      <w:pPr>
        <w:spacing w:line="360" w:lineRule="auto"/>
        <w:ind w:right="-512" w:rightChars="-244" w:firstLine="600" w:firstLineChars="250"/>
        <w:rPr>
          <w:rFonts w:ascii="宋体" w:hAnsi="宋体"/>
          <w:sz w:val="24"/>
          <w:szCs w:val="24"/>
        </w:rPr>
      </w:pPr>
      <w:r>
        <w:rPr>
          <w:rFonts w:hint="eastAsia" w:ascii="宋体" w:hAnsi="宋体"/>
          <w:sz w:val="24"/>
          <w:szCs w:val="24"/>
        </w:rPr>
        <w:t>2.10血氧附件为软指套血氧探头，防水级别达iPX7，支持直接用消毒剂清洗、浸泡。</w:t>
      </w:r>
    </w:p>
    <w:p>
      <w:pPr>
        <w:spacing w:line="360" w:lineRule="auto"/>
        <w:ind w:right="-512" w:rightChars="-244" w:firstLine="600" w:firstLineChars="250"/>
        <w:rPr>
          <w:rFonts w:hint="eastAsia" w:eastAsiaTheme="minorEastAsia"/>
          <w:sz w:val="24"/>
          <w:szCs w:val="24"/>
          <w:lang w:eastAsia="zh-CN"/>
        </w:rPr>
      </w:pPr>
      <w:r>
        <w:rPr>
          <w:rFonts w:hint="eastAsia" w:ascii="宋体" w:hAnsi="宋体"/>
          <w:sz w:val="24"/>
          <w:szCs w:val="24"/>
        </w:rPr>
        <w:t>2.11</w:t>
      </w:r>
      <w:r>
        <w:rPr>
          <w:rFonts w:hint="eastAsia" w:ascii="微软雅黑" w:hAnsi="微软雅黑" w:eastAsia="微软雅黑" w:cs="+mn-cs"/>
          <w:color w:val="000000"/>
          <w:kern w:val="24"/>
          <w:sz w:val="24"/>
          <w:szCs w:val="24"/>
        </w:rPr>
        <w:t xml:space="preserve"> </w:t>
      </w:r>
      <w:r>
        <w:rPr>
          <w:rFonts w:hint="eastAsia"/>
          <w:sz w:val="24"/>
          <w:szCs w:val="24"/>
        </w:rPr>
        <w:t xml:space="preserve">NIBP适用于成人，小儿和新生儿，在国家注册中无病人类型的限制，并提供注册证材料 </w:t>
      </w:r>
      <w:r>
        <w:rPr>
          <w:rFonts w:hint="eastAsia"/>
          <w:sz w:val="24"/>
          <w:szCs w:val="24"/>
          <w:lang w:eastAsia="zh-CN"/>
        </w:rPr>
        <w:t>；</w:t>
      </w:r>
      <w:bookmarkStart w:id="0" w:name="_GoBack"/>
      <w:bookmarkEnd w:id="0"/>
    </w:p>
    <w:p>
      <w:pPr>
        <w:spacing w:line="360" w:lineRule="auto"/>
        <w:ind w:right="-512" w:rightChars="-244" w:firstLine="600" w:firstLineChars="250"/>
        <w:rPr>
          <w:rFonts w:ascii="宋体" w:hAnsi="宋体"/>
          <w:sz w:val="24"/>
          <w:szCs w:val="24"/>
        </w:rPr>
      </w:pPr>
      <w:r>
        <w:rPr>
          <w:rFonts w:hint="eastAsia" w:ascii="宋体" w:hAnsi="宋体"/>
          <w:sz w:val="24"/>
          <w:szCs w:val="24"/>
        </w:rPr>
        <w:t>2.12 无创血压监测具备多重压力保护功能，同时可以选择初始充气压力，提升测量的准确性和患者的舒适性。</w:t>
      </w:r>
    </w:p>
    <w:p>
      <w:pPr>
        <w:spacing w:line="360" w:lineRule="auto"/>
        <w:ind w:right="-512" w:rightChars="-244" w:firstLine="600" w:firstLineChars="250"/>
        <w:rPr>
          <w:rFonts w:ascii="宋体" w:hAnsi="宋体"/>
          <w:sz w:val="24"/>
          <w:szCs w:val="24"/>
        </w:rPr>
      </w:pPr>
      <w:r>
        <w:rPr>
          <w:rFonts w:hint="eastAsia" w:ascii="宋体" w:hAnsi="宋体"/>
          <w:sz w:val="24"/>
          <w:szCs w:val="24"/>
        </w:rPr>
        <w:t>2.13 血压袖带采用防水材料，一体式设计，支持洗衣机批量清洗，减少医护人员工作量；</w:t>
      </w:r>
    </w:p>
    <w:p>
      <w:pPr>
        <w:spacing w:line="360" w:lineRule="auto"/>
        <w:ind w:right="-512" w:rightChars="-244" w:firstLine="600" w:firstLineChars="250"/>
        <w:rPr>
          <w:rFonts w:hint="eastAsia" w:ascii="宋体" w:hAnsi="宋体" w:eastAsiaTheme="minorEastAsia"/>
          <w:color w:val="000000"/>
          <w:sz w:val="24"/>
          <w:szCs w:val="24"/>
          <w:lang w:eastAsia="zh-CN"/>
        </w:rPr>
      </w:pPr>
      <w:r>
        <w:rPr>
          <w:rFonts w:hint="eastAsia" w:ascii="宋体" w:hAnsi="宋体"/>
          <w:sz w:val="24"/>
          <w:szCs w:val="24"/>
        </w:rPr>
        <w:t xml:space="preserve">2.14  </w:t>
      </w:r>
      <w:r>
        <w:rPr>
          <w:rFonts w:hint="eastAsia" w:ascii="宋体" w:hAnsi="宋体"/>
          <w:color w:val="000000"/>
          <w:sz w:val="24"/>
          <w:szCs w:val="24"/>
        </w:rPr>
        <w:t>支持通过有线、无线方式连入中央监护系统，并可以与遥测监护进行混网联接</w:t>
      </w:r>
      <w:r>
        <w:rPr>
          <w:rFonts w:hint="eastAsia" w:ascii="宋体" w:hAnsi="宋体"/>
          <w:color w:val="000000"/>
          <w:sz w:val="24"/>
          <w:szCs w:val="24"/>
          <w:lang w:eastAsia="zh-CN"/>
        </w:rPr>
        <w:t>；</w:t>
      </w:r>
    </w:p>
    <w:p>
      <w:pPr>
        <w:spacing w:line="360" w:lineRule="auto"/>
        <w:ind w:right="-512" w:rightChars="-244" w:firstLine="600" w:firstLineChars="250"/>
        <w:rPr>
          <w:rFonts w:hint="eastAsia" w:ascii="宋体" w:hAnsi="宋体" w:eastAsiaTheme="minorEastAsia"/>
          <w:color w:val="000000"/>
          <w:sz w:val="24"/>
          <w:szCs w:val="24"/>
          <w:lang w:eastAsia="zh-CN"/>
        </w:rPr>
      </w:pPr>
      <w:r>
        <w:rPr>
          <w:rFonts w:hint="eastAsia" w:ascii="宋体" w:hAnsi="宋体"/>
          <w:sz w:val="24"/>
          <w:szCs w:val="24"/>
        </w:rPr>
        <w:t xml:space="preserve">2.15  </w:t>
      </w:r>
      <w:r>
        <w:rPr>
          <w:rFonts w:hint="eastAsia" w:ascii="宋体" w:hAnsi="宋体"/>
          <w:color w:val="000000"/>
          <w:sz w:val="24"/>
          <w:szCs w:val="24"/>
        </w:rPr>
        <w:t>具备它床观察功能，它床观察支持数量</w:t>
      </w:r>
      <w:r>
        <w:rPr>
          <w:rFonts w:hint="eastAsia" w:ascii="宋体" w:hAnsi="宋体" w:cs="宋体"/>
          <w:color w:val="000000"/>
          <w:kern w:val="0"/>
          <w:sz w:val="24"/>
          <w:szCs w:val="24"/>
        </w:rPr>
        <w:t>≥</w:t>
      </w:r>
      <w:r>
        <w:rPr>
          <w:rFonts w:hint="eastAsia" w:ascii="宋体" w:hAnsi="宋体"/>
          <w:color w:val="000000"/>
          <w:sz w:val="24"/>
          <w:szCs w:val="24"/>
        </w:rPr>
        <w:t>10张床位，并可以管理它床报警</w:t>
      </w:r>
      <w:r>
        <w:rPr>
          <w:rFonts w:hint="eastAsia" w:ascii="宋体" w:hAnsi="宋体"/>
          <w:color w:val="000000"/>
          <w:sz w:val="24"/>
          <w:szCs w:val="24"/>
          <w:lang w:eastAsia="zh-CN"/>
        </w:rPr>
        <w:t>；</w:t>
      </w:r>
    </w:p>
    <w:p>
      <w:pPr>
        <w:spacing w:line="360" w:lineRule="auto"/>
        <w:ind w:right="-512" w:rightChars="-244" w:firstLine="600" w:firstLineChars="250"/>
        <w:rPr>
          <w:rFonts w:hint="eastAsia" w:eastAsiaTheme="minorEastAsia"/>
          <w:color w:val="000000"/>
          <w:sz w:val="24"/>
          <w:szCs w:val="24"/>
          <w:lang w:eastAsia="zh-CN"/>
        </w:rPr>
      </w:pPr>
      <w:r>
        <w:rPr>
          <w:rFonts w:hint="eastAsia" w:ascii="宋体" w:hAnsi="宋体"/>
          <w:color w:val="000000"/>
          <w:sz w:val="24"/>
          <w:szCs w:val="24"/>
        </w:rPr>
        <w:t xml:space="preserve">2.16  </w:t>
      </w:r>
      <w:r>
        <w:rPr>
          <w:rFonts w:hint="eastAsia"/>
          <w:color w:val="000000"/>
          <w:sz w:val="24"/>
          <w:szCs w:val="24"/>
        </w:rPr>
        <w:t>整机无风扇设计，降低环境噪音干扰</w:t>
      </w:r>
      <w:r>
        <w:rPr>
          <w:rFonts w:hint="eastAsia"/>
          <w:color w:val="000000"/>
          <w:sz w:val="24"/>
          <w:szCs w:val="24"/>
          <w:lang w:eastAsia="zh-CN"/>
        </w:rPr>
        <w:t>；</w:t>
      </w:r>
    </w:p>
    <w:p>
      <w:pPr>
        <w:spacing w:line="360" w:lineRule="auto"/>
        <w:ind w:right="-512" w:rightChars="-244" w:firstLine="600" w:firstLineChars="250"/>
        <w:rPr>
          <w:rFonts w:hint="eastAsia" w:eastAsiaTheme="minorEastAsia"/>
          <w:color w:val="000000"/>
          <w:sz w:val="24"/>
          <w:szCs w:val="24"/>
          <w:lang w:eastAsia="zh-CN"/>
        </w:rPr>
      </w:pPr>
      <w:r>
        <w:rPr>
          <w:rFonts w:hint="eastAsia" w:ascii="宋体" w:hAnsi="宋体"/>
          <w:color w:val="000000"/>
          <w:sz w:val="24"/>
          <w:szCs w:val="24"/>
        </w:rPr>
        <w:t>2.17</w:t>
      </w:r>
      <w:r>
        <w:rPr>
          <w:rFonts w:hint="eastAsia"/>
          <w:color w:val="000000"/>
          <w:sz w:val="24"/>
          <w:szCs w:val="24"/>
        </w:rPr>
        <w:t xml:space="preserve">  </w:t>
      </w:r>
      <w:r>
        <w:rPr>
          <w:rFonts w:hint="eastAsia" w:ascii="宋体" w:hAnsi="宋体"/>
          <w:b/>
          <w:sz w:val="24"/>
          <w:szCs w:val="24"/>
        </w:rPr>
        <w:t>具有≥8寸彩色显示屏，可选触摸屏</w:t>
      </w:r>
      <w:r>
        <w:rPr>
          <w:rFonts w:hint="eastAsia" w:ascii="宋体" w:hAnsi="宋体"/>
          <w:b/>
          <w:sz w:val="24"/>
          <w:szCs w:val="24"/>
          <w:lang w:eastAsia="zh-CN"/>
        </w:rPr>
        <w:t>；</w:t>
      </w:r>
    </w:p>
    <w:p>
      <w:pPr>
        <w:spacing w:line="360" w:lineRule="auto"/>
        <w:ind w:right="-512" w:rightChars="-244" w:firstLine="600" w:firstLineChars="250"/>
        <w:rPr>
          <w:rFonts w:hint="eastAsia" w:eastAsiaTheme="minorEastAsia"/>
          <w:sz w:val="24"/>
          <w:szCs w:val="24"/>
          <w:lang w:eastAsia="zh-CN"/>
        </w:rPr>
      </w:pPr>
      <w:r>
        <w:rPr>
          <w:rFonts w:hint="eastAsia" w:ascii="宋体" w:hAnsi="宋体"/>
          <w:sz w:val="24"/>
          <w:szCs w:val="24"/>
        </w:rPr>
        <w:t xml:space="preserve">2.18  </w:t>
      </w:r>
      <w:r>
        <w:rPr>
          <w:rFonts w:hint="eastAsia"/>
          <w:sz w:val="24"/>
          <w:szCs w:val="24"/>
        </w:rPr>
        <w:t>标配内置SD卡，支持</w:t>
      </w:r>
      <w:r>
        <w:rPr>
          <w:rFonts w:hint="eastAsia" w:ascii="宋体" w:hAnsi="宋体"/>
          <w:sz w:val="24"/>
          <w:szCs w:val="24"/>
        </w:rPr>
        <w:t>≥</w:t>
      </w:r>
      <w:r>
        <w:rPr>
          <w:rFonts w:hint="eastAsia"/>
          <w:sz w:val="24"/>
          <w:szCs w:val="24"/>
        </w:rPr>
        <w:t xml:space="preserve">40小时全息波形的存储与回顾，支持历史病人的回顾 </w:t>
      </w:r>
      <w:r>
        <w:rPr>
          <w:rFonts w:hint="eastAsia"/>
          <w:sz w:val="24"/>
          <w:szCs w:val="24"/>
          <w:lang w:eastAsia="zh-CN"/>
        </w:rPr>
        <w:t>；</w:t>
      </w:r>
    </w:p>
    <w:p>
      <w:pPr>
        <w:spacing w:line="360" w:lineRule="auto"/>
        <w:ind w:right="-512" w:rightChars="-244" w:firstLine="600" w:firstLineChars="250"/>
        <w:rPr>
          <w:rFonts w:hint="eastAsia" w:eastAsiaTheme="minorEastAsia"/>
          <w:sz w:val="24"/>
          <w:szCs w:val="24"/>
          <w:lang w:eastAsia="zh-CN"/>
        </w:rPr>
      </w:pPr>
      <w:r>
        <w:rPr>
          <w:rFonts w:hint="eastAsia" w:ascii="宋体" w:hAnsi="宋体"/>
          <w:sz w:val="24"/>
          <w:szCs w:val="24"/>
        </w:rPr>
        <w:t xml:space="preserve">2.19  </w:t>
      </w:r>
      <w:r>
        <w:rPr>
          <w:rFonts w:hint="eastAsia"/>
          <w:sz w:val="24"/>
          <w:szCs w:val="24"/>
        </w:rPr>
        <w:t>支持药物计算，血液动力学计算，氧合计算，通气计算</w:t>
      </w:r>
      <w:r>
        <w:rPr>
          <w:rFonts w:hint="eastAsia"/>
          <w:sz w:val="24"/>
          <w:szCs w:val="24"/>
          <w:lang w:eastAsia="zh-CN"/>
        </w:rPr>
        <w:t>。</w:t>
      </w:r>
    </w:p>
    <w:p>
      <w:pPr>
        <w:rPr>
          <w:sz w:val="24"/>
          <w:szCs w:val="24"/>
        </w:rPr>
      </w:pPr>
    </w:p>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三、备件及资料：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四、技术培训：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五、安装及验收：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六、质量保证及售后服务：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七、付款方式：</w:t>
      </w:r>
    </w:p>
    <w:p>
      <w:pPr>
        <w:autoSpaceDE w:val="0"/>
        <w:autoSpaceDN w:val="0"/>
        <w:adjustRightInd w:val="0"/>
        <w:spacing w:line="400" w:lineRule="exact"/>
        <w:ind w:firstLine="600" w:firstLineChars="250"/>
        <w:rPr>
          <w:rFonts w:ascii="宋体" w:hAnsi="宋体" w:cs="楷体_GB2312"/>
          <w:sz w:val="24"/>
          <w:lang w:val="zh-CN"/>
        </w:rPr>
      </w:pPr>
      <w:r>
        <w:rPr>
          <w:rFonts w:hint="eastAsia" w:ascii="宋体" w:hAnsi="宋体" w:cs="楷体_GB2312"/>
          <w:sz w:val="24"/>
          <w:lang w:val="zh-CN"/>
        </w:rPr>
        <w:t>产品全部供货验收合格后第一周内付90%，余款十二个月后一次付清。</w:t>
      </w:r>
    </w:p>
    <w:p>
      <w:pPr>
        <w:jc w:val="left"/>
        <w:rPr>
          <w:rFonts w:hint="eastAsia" w:ascii="宋体" w:hAnsi="宋体" w:eastAsia="宋体" w:cs="宋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仿宋">
    <w:altName w:val="宋体"/>
    <w:panose1 w:val="02010609060101010101"/>
    <w:charset w:val="00"/>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mn-cs">
    <w:altName w:val="Latha"/>
    <w:panose1 w:val="00000000000000000000"/>
    <w:charset w:val="00"/>
    <w:family w:val="roman"/>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63F00"/>
    <w:rsid w:val="7E463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2020-09-07T06:26:00Z</dcterms:created>
  <dc:creator>fwh</dc:creator>
  <cp:lastModifiedBy>fwh</cp:lastModifiedBy>
  <dcterms:modified xsi:type="dcterms:W3CDTF">2020-09-07T06:32:51Z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