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="宋体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肠内营养泵技术参数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流速速度：1~400ml/h，调节量1ml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剂量范围：0~4000ml，调节量1ml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可充电锂电池，可供断电时使用24小时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运作方式：人体胃蠕动方式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显示方式：大屏幕LCD液晶显示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按键模式：屏幕导航按键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预灌注：营养液，冲洗液双选择灌注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输注模式：潮汐式匀速输注和顿服模式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过量保护：有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病人活动：不受摆放角度及位置限制，患者可便携尽早下床活动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抗干扰键盘：可锁定键盘，避免携带时误操作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/>
          <w:shd w:val="clear" w:color="auto" w:fill="FFFFFF"/>
        </w:rPr>
      </w:pPr>
      <w:r>
        <w:rPr>
          <w:rFonts w:hint="eastAsia" w:ascii="Arial" w:hAnsi="Arial" w:cs="Arial"/>
          <w:color w:val="000000"/>
          <w:shd w:val="clear" w:color="auto" w:fill="FFFFFF"/>
        </w:rPr>
        <w:t>设备精度：≤±5％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尺寸：140×95×35毫米；重量：392克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排气：自动排气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安全颜色：紫色安全，区别其他用途泵，防止错接非肠内营养管路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气泡检测：空气体积约0.5~1ml</w:t>
      </w:r>
    </w:p>
    <w:p>
      <w:r>
        <w:rPr>
          <w:rFonts w:hint="eastAsia"/>
          <w:lang w:val="en-US" w:eastAsia="zh-CN"/>
        </w:rPr>
        <w:t>17.</w:t>
      </w:r>
      <w:r>
        <w:rPr>
          <w:rFonts w:hint="eastAsia"/>
        </w:rPr>
        <w:t>防水等级：IPX5，目前</w:t>
      </w:r>
      <w:bookmarkStart w:id="0" w:name="_GoBack"/>
      <w:bookmarkEnd w:id="0"/>
      <w:r>
        <w:rPr>
          <w:rFonts w:hint="eastAsia"/>
        </w:rPr>
        <w:t>唯一可直接水下冲洗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E4BC0"/>
    <w:multiLevelType w:val="multilevel"/>
    <w:tmpl w:val="5A8E4BC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zczYjk3MDU3NjYxZTRiMTNjMzNiMTg5NGYzMTcifQ=="/>
  </w:docVars>
  <w:rsids>
    <w:rsidRoot w:val="702414CB"/>
    <w:rsid w:val="702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2023-07-17T08:51:00Z</dcterms:created>
  <dc:creator>赵军</dc:creator>
  <cp:lastModifiedBy>赵军</cp:lastModifiedBy>
  <dcterms:modified xsi:type="dcterms:W3CDTF">2023-07-17T08:53:53Z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62A5B87025684042889D724796305D7F_11</vt:lpwstr>
  </property>
</Properties>
</file>