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Theme="minorEastAsia" w:hAnsiTheme="minorEastAsia" w:eastAsiaTheme="minorEastAsia"/>
          <w:b/>
          <w:bCs/>
          <w:spacing w:val="20"/>
          <w:sz w:val="72"/>
          <w:szCs w:val="72"/>
          <w:lang w:val="en-US" w:eastAsia="zh-CN"/>
        </w:rPr>
      </w:pPr>
      <w:r>
        <w:rPr>
          <w:rFonts w:hint="eastAsia" w:asciiTheme="minorEastAsia" w:hAnsiTheme="minorEastAsia" w:eastAsiaTheme="minorEastAsia"/>
          <w:b/>
          <w:bCs/>
          <w:spacing w:val="20"/>
          <w:sz w:val="72"/>
          <w:szCs w:val="72"/>
          <w:lang w:val="en-US" w:eastAsia="zh-CN"/>
        </w:rPr>
        <w:t>江阴市第五人民医院采购</w:t>
      </w: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公　开　招　标</w:t>
      </w:r>
    </w:p>
    <w:p>
      <w:pPr>
        <w:jc w:val="center"/>
        <w:rPr>
          <w:rFonts w:asciiTheme="minorEastAsia" w:hAnsiTheme="minorEastAsia" w:eastAsiaTheme="minorEastAsia"/>
          <w:b/>
          <w:bCs/>
          <w:sz w:val="72"/>
          <w:szCs w:val="72"/>
        </w:rPr>
      </w:pPr>
      <w:r>
        <w:rPr>
          <w:rFonts w:asciiTheme="minorEastAsia" w:hAnsiTheme="minorEastAsia" w:eastAsiaTheme="minorEastAsia"/>
          <w:b/>
          <w:bCs/>
          <w:sz w:val="72"/>
          <w:szCs w:val="72"/>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196850</wp:posOffset>
                </wp:positionV>
                <wp:extent cx="635" cy="0"/>
                <wp:effectExtent l="0" t="0" r="0" b="0"/>
                <wp:wrapNone/>
                <wp:docPr id="4" name="直线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2" o:spid="_x0000_s1026" o:spt="20" style="position:absolute;left:0pt;margin-left:-9pt;margin-top:15.5pt;height:0pt;width:0.05pt;z-index:251660288;mso-width-relative:page;mso-height-relative:page;" filled="f" stroked="t" coordsize="21600,21600" o:allowincell="f" o:gfxdata="UEsDBAoAAAAAAIdO4kAAAAAAAAAAAAAAAAAEAAAAZHJzL1BLAwQUAAAACACHTuJAAob7f9cAAAAJ&#10;AQAADwAAAGRycy9kb3ducmV2LnhtbE2PT0/DMAzF70h8h8hIXKYu6SbBKE13AHrjwgBx9RrTVjRO&#10;12R/4NNjxAFOlv2enn+vXJ/8oA40xT6whXxuQBE3wfXcWnh5rrMVqJiQHQ6BycInRVhX52clFi4c&#10;+YkOm9QqCeFYoIUupbHQOjYdeYzzMBKL9h4mj0nWqdVuwqOE+0EvjLnSHnuWDx2OdNdR87HZewux&#10;fqVd/TVrZuZt2QZa7O4fH9Day4vc3IJKdEp/ZvjBF3SohGkb9uyiGixk+Uq6JAvLXKYYsvz6BtT2&#10;96CrUv9vUH0DUEsDBBQAAAAIAIdO4kCEac0i0wEAAJ0DAAAOAAAAZHJzL2Uyb0RvYy54bWytU0uO&#10;EzEQ3SNxB8t70kkgI2ilM4tEw2aAkWY4QMXtTlvYLsvlpJOzcA1WbDjOXIOy82EYNrOgF5br96re&#10;K/f8eu+s2OlIBn0jJ6OxFNorbI3fNPLrw82b91JQAt+CRa8bedAkrxevX82HUOsp9mhbHQWDeKqH&#10;0Mg+pVBXFaleO6ARBu052GF0kNiMm6qNMDC6s9V0PL6qBoxtiKg0EXtXx6A8IcaXAGLXGaVXqLZO&#10;+3REjdpCYkrUm0ByUabtOq3Sl64jnYRtJDNN5eQmfF/ns1rMod5ECL1RpxHgJSM84+TAeG56gVpB&#10;ArGN5h8oZ1REwi6NFLrqSKQowiwm42fa3PcQdOHCUlO4iE7/D1Z93t1FYdpGvpPCg+OFP37/8fjz&#10;l5hmbYZANacs/V3M7NTe34dbVN9IeFz24De6zPhwCFw4yRXVXyXZoMAd1sMnbDkHtgmLUPsuugzJ&#10;Eoh92cfhsg+9T0Kx8+rtTAp19ldQn4tCpPRRoxP50khrfJYJatjdUspDQH1OyW6PN8basmrrxdDI&#10;D7PprBQQWtPmYE6juFkvbRQ7yI+lfIURR56mRdz69tjE+hPhzPGo1hrbw108C8FbK9OcXlh+Fk/t&#10;Uv3nr1r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KG+3/XAAAACQEAAA8AAAAAAAAAAQAgAAAA&#10;IgAAAGRycy9kb3ducmV2LnhtbFBLAQIUABQAAAAIAIdO4kCEac0i0wEAAJ0DAAAOAAAAAAAAAAEA&#10;IAAAACYBAABkcnMvZTJvRG9jLnhtbFBLBQYAAAAABgAGAFkBAABrBQAAAAA=&#10;">
                <v:fill on="f" focussize="0,0"/>
                <v:stroke color="#000000" joinstyle="round"/>
                <v:imagedata o:title=""/>
                <o:lock v:ext="edit" aspectratio="f"/>
              </v:line>
            </w:pict>
          </mc:Fallback>
        </mc:AlternateContent>
      </w:r>
      <w:r>
        <w:rPr>
          <w:rFonts w:hint="eastAsia" w:asciiTheme="minorEastAsia" w:hAnsiTheme="minorEastAsia" w:eastAsiaTheme="minorEastAsia"/>
          <w:b/>
          <w:bCs/>
          <w:sz w:val="72"/>
          <w:szCs w:val="72"/>
        </w:rPr>
        <w:t>招　标　文　件</w:t>
      </w:r>
    </w:p>
    <w:p>
      <w:pPr>
        <w:jc w:val="center"/>
        <w:rPr>
          <w:rFonts w:ascii="楷体_GB2312" w:hAnsi="华文中宋" w:eastAsia="楷体_GB2312"/>
          <w:bCs/>
          <w:sz w:val="30"/>
        </w:rPr>
      </w:pPr>
    </w:p>
    <w:p>
      <w:pPr>
        <w:jc w:val="center"/>
        <w:rPr>
          <w:rFonts w:ascii="楷体_GB2312" w:hAnsi="华文中宋" w:eastAsia="楷体_GB2312"/>
          <w:bCs/>
          <w:sz w:val="30"/>
        </w:rPr>
      </w:pPr>
      <w:bookmarkStart w:id="50" w:name="_GoBack"/>
      <w:bookmarkEnd w:id="50"/>
    </w:p>
    <w:p>
      <w:pPr>
        <w:jc w:val="center"/>
        <w:rPr>
          <w:rFonts w:ascii="楷体_GB2312" w:hAnsi="华文中宋" w:eastAsia="楷体_GB2312"/>
          <w:bCs/>
          <w:sz w:val="30"/>
        </w:rPr>
      </w:pPr>
    </w:p>
    <w:p>
      <w:pPr>
        <w:pStyle w:val="8"/>
        <w:ind w:left="1470" w:right="1470"/>
      </w:pPr>
    </w:p>
    <w:p>
      <w:pPr>
        <w:spacing w:line="360" w:lineRule="auto"/>
        <w:ind w:left="3194" w:leftChars="450" w:hanging="2249" w:hangingChars="700"/>
        <w:rPr>
          <w:rStyle w:val="16"/>
          <w:rFonts w:asciiTheme="minorEastAsia" w:hAnsiTheme="minorEastAsia" w:eastAsiaTheme="minorEastAsia"/>
        </w:rPr>
      </w:pPr>
    </w:p>
    <w:p>
      <w:pPr>
        <w:spacing w:line="360" w:lineRule="auto"/>
        <w:ind w:left="3194" w:leftChars="450" w:hanging="2249" w:hangingChars="700"/>
        <w:outlineLvl w:val="0"/>
        <w:rPr>
          <w:rFonts w:hint="eastAsia" w:eastAsia="宋体" w:asciiTheme="minorEastAsia" w:hAnsiTheme="minorEastAsia"/>
          <w:bCs/>
          <w:sz w:val="32"/>
          <w:lang w:val="en-US" w:eastAsia="zh-CN"/>
        </w:rPr>
      </w:pPr>
      <w:r>
        <w:rPr>
          <w:rStyle w:val="16"/>
          <w:rFonts w:hint="eastAsia" w:asciiTheme="minorEastAsia" w:hAnsiTheme="minorEastAsia" w:eastAsiaTheme="minorEastAsia"/>
        </w:rPr>
        <w:t>采购项目</w:t>
      </w:r>
      <w:r>
        <w:rPr>
          <w:rFonts w:hint="eastAsia" w:cs="Batang" w:asciiTheme="minorEastAsia" w:hAnsiTheme="minorEastAsia" w:eastAsiaTheme="minorEastAsia"/>
          <w:b/>
          <w:sz w:val="32"/>
          <w:szCs w:val="32"/>
        </w:rPr>
        <w:t>名</w:t>
      </w:r>
      <w:r>
        <w:rPr>
          <w:rFonts w:hint="eastAsia" w:asciiTheme="minorEastAsia" w:hAnsiTheme="minorEastAsia" w:eastAsiaTheme="minorEastAsia"/>
          <w:b/>
          <w:sz w:val="32"/>
          <w:szCs w:val="32"/>
        </w:rPr>
        <w:t>称</w:t>
      </w:r>
      <w:r>
        <w:rPr>
          <w:rFonts w:hint="eastAsia" w:cs="Batang" w:asciiTheme="minorEastAsia" w:hAnsiTheme="minorEastAsia" w:eastAsiaTheme="minorEastAsia"/>
          <w:b/>
          <w:sz w:val="32"/>
          <w:szCs w:val="32"/>
        </w:rPr>
        <w:t>：</w:t>
      </w:r>
      <w:r>
        <w:rPr>
          <w:rFonts w:hint="eastAsia" w:ascii="宋体" w:hAnsi="宋体"/>
          <w:bCs/>
          <w:iCs/>
          <w:sz w:val="32"/>
          <w:szCs w:val="32"/>
        </w:rPr>
        <w:t>江阴市第五人民医院协同管理系统</w:t>
      </w:r>
      <w:r>
        <w:rPr>
          <w:rFonts w:hint="eastAsia" w:ascii="宋体" w:hAnsi="宋体"/>
          <w:bCs/>
          <w:iCs/>
          <w:sz w:val="32"/>
          <w:szCs w:val="32"/>
          <w:lang w:val="en-US" w:eastAsia="zh-CN"/>
        </w:rPr>
        <w:t>项目</w:t>
      </w:r>
    </w:p>
    <w:p>
      <w:pPr>
        <w:jc w:val="center"/>
        <w:rPr>
          <w:rFonts w:hint="eastAsia" w:ascii="楷体_GB2312" w:hAnsi="华文中宋" w:eastAsia="楷体_GB2312"/>
          <w:bCs/>
          <w:sz w:val="30"/>
          <w:lang w:val="en-US" w:eastAsia="zh-CN"/>
        </w:rPr>
      </w:pPr>
      <w:r>
        <w:rPr>
          <w:rFonts w:hint="eastAsia" w:ascii="楷体_GB2312" w:hAnsi="华文中宋" w:eastAsia="楷体_GB2312"/>
          <w:bCs/>
          <w:sz w:val="30"/>
          <w:lang w:val="en-US" w:eastAsia="zh-CN"/>
        </w:rPr>
        <w:t xml:space="preserve">  </w:t>
      </w:r>
    </w:p>
    <w:p>
      <w:pPr>
        <w:pStyle w:val="2"/>
        <w:rPr>
          <w:rFonts w:hint="eastAsia" w:ascii="楷体_GB2312" w:hAnsi="华文中宋" w:eastAsia="楷体_GB2312"/>
          <w:bCs/>
          <w:sz w:val="30"/>
          <w:lang w:val="en-US" w:eastAsia="zh-CN"/>
        </w:rPr>
      </w:pPr>
    </w:p>
    <w:p>
      <w:pPr>
        <w:pStyle w:val="2"/>
        <w:rPr>
          <w:rFonts w:hint="eastAsia" w:ascii="楷体_GB2312" w:hAnsi="华文中宋" w:eastAsia="楷体_GB2312"/>
          <w:bCs/>
          <w:sz w:val="30"/>
          <w:lang w:val="en-US" w:eastAsia="zh-CN"/>
        </w:rPr>
      </w:pPr>
    </w:p>
    <w:p>
      <w:pPr>
        <w:pStyle w:val="2"/>
        <w:rPr>
          <w:rFonts w:hint="eastAsia" w:ascii="楷体_GB2312" w:hAnsi="华文中宋" w:eastAsia="楷体_GB2312"/>
          <w:bCs/>
          <w:sz w:val="30"/>
          <w:lang w:val="en-US" w:eastAsia="zh-CN"/>
        </w:rPr>
      </w:pPr>
    </w:p>
    <w:p>
      <w:pPr>
        <w:pStyle w:val="2"/>
        <w:rPr>
          <w:rFonts w:hint="eastAsia" w:ascii="楷体_GB2312" w:hAnsi="华文中宋" w:eastAsia="楷体_GB2312"/>
          <w:bCs/>
          <w:sz w:val="30"/>
          <w:lang w:val="en-US" w:eastAsia="zh-CN"/>
        </w:rPr>
      </w:pPr>
    </w:p>
    <w:p>
      <w:pPr>
        <w:pStyle w:val="2"/>
        <w:rPr>
          <w:rFonts w:hint="default" w:ascii="楷体_GB2312" w:hAnsi="华文中宋" w:eastAsia="楷体_GB2312"/>
          <w:bCs/>
          <w:sz w:val="30"/>
          <w:lang w:val="en-US" w:eastAsia="zh-CN"/>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rPr>
          <w:rFonts w:ascii="楷体_GB2312" w:hAnsi="华文中宋" w:eastAsia="楷体_GB2312"/>
          <w:bCs/>
          <w:sz w:val="30"/>
        </w:rPr>
      </w:pPr>
    </w:p>
    <w:p>
      <w:pPr>
        <w:jc w:val="center"/>
        <w:rPr>
          <w:rStyle w:val="15"/>
          <w:rFonts w:ascii="楷体_GB2312" w:eastAsia="楷体_GB2312"/>
          <w:bCs/>
          <w:color w:val="auto"/>
          <w:sz w:val="48"/>
        </w:rPr>
        <w:sectPr>
          <w:headerReference r:id="rId5" w:type="first"/>
          <w:footerReference r:id="rId8" w:type="first"/>
          <w:headerReference r:id="rId3" w:type="default"/>
          <w:footerReference r:id="rId6" w:type="default"/>
          <w:headerReference r:id="rId4" w:type="even"/>
          <w:footerReference r:id="rId7" w:type="even"/>
          <w:pgSz w:w="11906" w:h="16838"/>
          <w:pgMar w:top="1253" w:right="1247" w:bottom="1440" w:left="1247" w:header="567"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Theme="minorEastAsia" w:hAnsiTheme="minorEastAsia" w:eastAsiaTheme="minorEastAsia"/>
          <w:bCs/>
          <w:sz w:val="48"/>
        </w:rPr>
        <w:t>二○二</w:t>
      </w:r>
      <w:r>
        <w:rPr>
          <w:rFonts w:hint="eastAsia" w:asciiTheme="minorEastAsia" w:hAnsiTheme="minorEastAsia" w:eastAsiaTheme="minorEastAsia"/>
          <w:bCs/>
          <w:sz w:val="48"/>
          <w:lang w:eastAsia="zh-CN"/>
        </w:rPr>
        <w:t>三</w:t>
      </w:r>
      <w:r>
        <w:rPr>
          <w:rFonts w:hint="eastAsia" w:asciiTheme="minorEastAsia" w:hAnsiTheme="minorEastAsia" w:eastAsiaTheme="minorEastAsia"/>
          <w:bCs/>
          <w:sz w:val="48"/>
        </w:rPr>
        <w:t>年</w:t>
      </w:r>
      <w:r>
        <w:rPr>
          <w:rFonts w:hint="eastAsia" w:asciiTheme="minorEastAsia" w:hAnsiTheme="minorEastAsia" w:eastAsiaTheme="minorEastAsia"/>
          <w:bCs/>
          <w:sz w:val="48"/>
          <w:lang w:val="en-US" w:eastAsia="zh-CN"/>
        </w:rPr>
        <w:t>六</w:t>
      </w:r>
      <w:r>
        <w:rPr>
          <w:rFonts w:hint="eastAsia" w:asciiTheme="minorEastAsia" w:hAnsiTheme="minorEastAsia" w:eastAsiaTheme="minorEastAsia"/>
          <w:bCs/>
          <w:sz w:val="48"/>
        </w:rPr>
        <w:t>月</w:t>
      </w:r>
    </w:p>
    <w:p>
      <w:pPr>
        <w:spacing w:line="360" w:lineRule="auto"/>
        <w:jc w:val="center"/>
        <w:rPr>
          <w:rFonts w:ascii="黑体" w:eastAsia="黑体"/>
          <w:bCs/>
          <w:color w:val="auto"/>
          <w:sz w:val="40"/>
          <w:szCs w:val="40"/>
          <w:u w:val="none"/>
        </w:rPr>
      </w:pPr>
      <w:r>
        <w:rPr>
          <w:rFonts w:hint="eastAsia" w:ascii="黑体" w:eastAsia="黑体"/>
          <w:bCs/>
          <w:color w:val="auto"/>
          <w:sz w:val="40"/>
          <w:szCs w:val="40"/>
          <w:u w:val="none"/>
        </w:rPr>
        <w:t>总　目　录</w:t>
      </w:r>
    </w:p>
    <w:p>
      <w:pPr>
        <w:spacing w:line="360" w:lineRule="auto"/>
        <w:rPr>
          <w:rFonts w:ascii="楷体_GB2312" w:eastAsia="楷体_GB2312"/>
          <w:bCs/>
          <w:color w:val="auto"/>
          <w:sz w:val="24"/>
          <w:szCs w:val="44"/>
        </w:rPr>
      </w:pPr>
    </w:p>
    <w:p>
      <w:pPr>
        <w:spacing w:line="720" w:lineRule="auto"/>
        <w:rPr>
          <w:rFonts w:hint="eastAsia" w:ascii="宋体" w:hAnsi="宋体" w:eastAsia="宋体"/>
          <w:bCs/>
          <w:color w:val="auto"/>
          <w:sz w:val="24"/>
          <w:szCs w:val="24"/>
          <w:u w:val="none"/>
        </w:rPr>
      </w:pPr>
      <w:r>
        <w:rPr>
          <w:rFonts w:hint="eastAsia" w:ascii="黑体" w:eastAsia="黑体"/>
          <w:bCs/>
          <w:color w:val="auto"/>
          <w:sz w:val="24"/>
          <w:szCs w:val="24"/>
          <w:u w:val="none"/>
        </w:rPr>
        <w:t>第一章　　</w:t>
      </w:r>
      <w:r>
        <w:rPr>
          <w:rFonts w:hint="eastAsia" w:ascii="宋体" w:hAnsi="宋体" w:eastAsia="宋体"/>
          <w:bCs/>
          <w:color w:val="auto"/>
          <w:sz w:val="24"/>
          <w:szCs w:val="24"/>
          <w:u w:val="none"/>
        </w:rPr>
        <w:t>投标邀请</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第二章　　</w:t>
      </w:r>
      <w:r>
        <w:rPr>
          <w:rFonts w:hint="eastAsia" w:ascii="宋体" w:hAnsi="宋体" w:eastAsia="宋体"/>
          <w:bCs/>
          <w:color w:val="auto"/>
          <w:sz w:val="24"/>
          <w:szCs w:val="24"/>
          <w:u w:val="none"/>
        </w:rPr>
        <w:t>投标人须知前附表</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第三章　　</w:t>
      </w:r>
      <w:r>
        <w:rPr>
          <w:rFonts w:hint="eastAsia" w:ascii="宋体" w:hAnsi="宋体" w:eastAsia="宋体"/>
          <w:bCs/>
          <w:color w:val="auto"/>
          <w:sz w:val="24"/>
          <w:szCs w:val="24"/>
          <w:u w:val="none"/>
        </w:rPr>
        <w:t>投标人须知</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第四章</w:t>
      </w:r>
      <w:r>
        <w:rPr>
          <w:rFonts w:hint="eastAsia" w:ascii="楷体_GB2312" w:eastAsia="楷体_GB2312"/>
          <w:bCs/>
          <w:color w:val="auto"/>
          <w:sz w:val="24"/>
          <w:szCs w:val="24"/>
          <w:u w:val="none"/>
        </w:rPr>
        <w:t>　　</w:t>
      </w:r>
      <w:r>
        <w:rPr>
          <w:rFonts w:hint="eastAsia" w:ascii="宋体" w:hAnsi="宋体" w:eastAsia="宋体"/>
          <w:bCs/>
          <w:color w:val="auto"/>
          <w:sz w:val="24"/>
          <w:szCs w:val="24"/>
          <w:u w:val="none"/>
        </w:rPr>
        <w:t>项目要求和有关说明</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第五章</w:t>
      </w:r>
      <w:r>
        <w:rPr>
          <w:rFonts w:hint="eastAsia" w:ascii="楷体_GB2312" w:eastAsia="楷体_GB2312"/>
          <w:bCs/>
          <w:color w:val="auto"/>
          <w:sz w:val="24"/>
          <w:szCs w:val="24"/>
          <w:u w:val="none"/>
        </w:rPr>
        <w:t>　　</w:t>
      </w:r>
      <w:r>
        <w:rPr>
          <w:rFonts w:hint="eastAsia" w:ascii="宋体" w:hAnsi="宋体" w:eastAsia="宋体"/>
          <w:bCs/>
          <w:sz w:val="24"/>
          <w:szCs w:val="24"/>
        </w:rPr>
        <w:t>评标方法和评标标准</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第六章</w:t>
      </w:r>
      <w:r>
        <w:rPr>
          <w:rFonts w:hint="eastAsia" w:ascii="楷体_GB2312" w:eastAsia="楷体_GB2312"/>
          <w:bCs/>
          <w:color w:val="auto"/>
          <w:sz w:val="24"/>
          <w:szCs w:val="24"/>
          <w:u w:val="none"/>
        </w:rPr>
        <w:t>　　</w:t>
      </w:r>
      <w:r>
        <w:rPr>
          <w:rFonts w:hint="eastAsia" w:ascii="宋体" w:hAnsi="宋体" w:eastAsia="宋体"/>
          <w:bCs/>
          <w:color w:val="auto"/>
          <w:sz w:val="24"/>
          <w:szCs w:val="24"/>
          <w:u w:val="none"/>
        </w:rPr>
        <w:t>合同书（格式）</w:t>
      </w:r>
    </w:p>
    <w:p>
      <w:pPr>
        <w:spacing w:line="720" w:lineRule="auto"/>
        <w:rPr>
          <w:rFonts w:ascii="宋体" w:hAnsi="宋体" w:eastAsia="宋体"/>
          <w:bCs/>
          <w:color w:val="auto"/>
          <w:sz w:val="24"/>
          <w:szCs w:val="24"/>
          <w:u w:val="none"/>
        </w:rPr>
      </w:pPr>
      <w:r>
        <w:rPr>
          <w:rFonts w:hint="eastAsia" w:ascii="黑体" w:eastAsia="黑体"/>
          <w:bCs/>
          <w:color w:val="auto"/>
          <w:sz w:val="24"/>
          <w:szCs w:val="24"/>
          <w:u w:val="none"/>
        </w:rPr>
        <w:t>第七章</w:t>
      </w:r>
      <w:r>
        <w:rPr>
          <w:rFonts w:hint="eastAsia" w:ascii="楷体_GB2312" w:eastAsia="楷体_GB2312"/>
          <w:bCs/>
          <w:color w:val="auto"/>
          <w:sz w:val="24"/>
          <w:szCs w:val="24"/>
          <w:u w:val="none"/>
        </w:rPr>
        <w:t>　　</w:t>
      </w:r>
      <w:r>
        <w:rPr>
          <w:rFonts w:hint="eastAsia" w:ascii="宋体" w:hAnsi="宋体" w:eastAsia="宋体"/>
          <w:bCs/>
          <w:color w:val="auto"/>
          <w:sz w:val="24"/>
          <w:szCs w:val="24"/>
          <w:u w:val="none"/>
        </w:rPr>
        <w:t>投标文件的组成和格式</w:t>
      </w:r>
    </w:p>
    <w:p>
      <w:r>
        <w:br w:type="page"/>
      </w:r>
    </w:p>
    <w:p>
      <w:pPr>
        <w:spacing w:line="400" w:lineRule="exact"/>
        <w:jc w:val="center"/>
        <w:outlineLvl w:val="0"/>
        <w:rPr>
          <w:rFonts w:ascii="黑体" w:eastAsia="黑体"/>
          <w:bCs/>
          <w:sz w:val="30"/>
        </w:rPr>
      </w:pPr>
      <w:r>
        <w:rPr>
          <w:rFonts w:hint="eastAsia" w:ascii="黑体" w:eastAsia="黑体"/>
          <w:bCs/>
          <w:sz w:val="30"/>
        </w:rPr>
        <w:t>第一章　投标邀请</w:t>
      </w:r>
    </w:p>
    <w:p>
      <w:pPr>
        <w:spacing w:line="400" w:lineRule="exact"/>
        <w:jc w:val="center"/>
        <w:outlineLvl w:val="9"/>
        <w:rPr>
          <w:rFonts w:ascii="楷体_GB2312" w:eastAsia="楷体_GB2312"/>
          <w:b/>
          <w:bCs/>
          <w:sz w:val="30"/>
        </w:rPr>
      </w:pPr>
    </w:p>
    <w:p>
      <w:pPr>
        <w:spacing w:line="400" w:lineRule="exact"/>
        <w:rPr>
          <w:rFonts w:ascii="宋体" w:hAnsi="宋体"/>
          <w:b/>
          <w:sz w:val="24"/>
        </w:rPr>
      </w:pPr>
      <w:r>
        <w:rPr>
          <w:rFonts w:hint="eastAsia" w:ascii="宋体" w:hAnsi="宋体"/>
          <w:b/>
          <w:sz w:val="24"/>
        </w:rPr>
        <w:t>项目概况</w:t>
      </w:r>
    </w:p>
    <w:p>
      <w:pPr>
        <w:spacing w:line="400" w:lineRule="exact"/>
        <w:ind w:firstLine="480" w:firstLineChars="200"/>
        <w:rPr>
          <w:rFonts w:ascii="宋体" w:hAnsi="宋体"/>
          <w:sz w:val="24"/>
        </w:rPr>
      </w:pPr>
      <w:r>
        <w:rPr>
          <w:rFonts w:hint="eastAsia" w:ascii="宋体" w:hAnsi="宋体"/>
          <w:sz w:val="24"/>
        </w:rPr>
        <w:t>医院协同管理系统</w:t>
      </w:r>
      <w:r>
        <w:rPr>
          <w:rFonts w:hint="eastAsia" w:ascii="宋体" w:hAnsi="宋体"/>
          <w:sz w:val="24"/>
          <w:lang w:val="en-US" w:eastAsia="zh-CN"/>
        </w:rPr>
        <w:t>项目</w:t>
      </w:r>
      <w:r>
        <w:rPr>
          <w:rFonts w:hint="eastAsia" w:ascii="宋体" w:hAnsi="宋体"/>
          <w:sz w:val="24"/>
        </w:rPr>
        <w:t>的潜在投标人应在江阴市</w:t>
      </w:r>
      <w:r>
        <w:rPr>
          <w:rFonts w:hint="eastAsia" w:ascii="宋体" w:hAnsi="宋体"/>
          <w:sz w:val="24"/>
          <w:lang w:val="en-US" w:eastAsia="zh-CN"/>
        </w:rPr>
        <w:t>第五人民医院官网</w:t>
      </w:r>
      <w:r>
        <w:rPr>
          <w:rFonts w:hint="eastAsia" w:ascii="宋体" w:hAnsi="宋体"/>
          <w:sz w:val="24"/>
        </w:rPr>
        <w:t>免费下载招标文件，并于202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14</w:t>
      </w:r>
      <w:r>
        <w:rPr>
          <w:rFonts w:hint="eastAsia" w:ascii="宋体" w:hAnsi="宋体"/>
          <w:sz w:val="24"/>
        </w:rPr>
        <w:t>日下午1</w:t>
      </w:r>
      <w:r>
        <w:rPr>
          <w:rFonts w:hint="eastAsia" w:ascii="宋体" w:hAnsi="宋体"/>
          <w:sz w:val="24"/>
          <w:lang w:val="en-US" w:eastAsia="zh-CN"/>
        </w:rPr>
        <w:t>6</w:t>
      </w:r>
      <w:r>
        <w:rPr>
          <w:rFonts w:hint="eastAsia" w:ascii="宋体" w:hAnsi="宋体"/>
          <w:sz w:val="24"/>
        </w:rPr>
        <w:t>:30（北京时间）前</w:t>
      </w:r>
      <w:r>
        <w:rPr>
          <w:rFonts w:hint="eastAsia" w:ascii="宋体" w:hAnsi="宋体"/>
          <w:sz w:val="24"/>
          <w:lang w:val="en-US" w:eastAsia="zh-CN"/>
        </w:rPr>
        <w:t>报名</w:t>
      </w:r>
      <w:r>
        <w:rPr>
          <w:rFonts w:hint="eastAsia" w:ascii="宋体" w:hAnsi="宋体"/>
          <w:sz w:val="24"/>
        </w:rPr>
        <w:t>。</w:t>
      </w:r>
    </w:p>
    <w:p>
      <w:pPr>
        <w:spacing w:line="400" w:lineRule="exact"/>
        <w:ind w:firstLine="480" w:firstLineChars="200"/>
        <w:rPr>
          <w:rFonts w:ascii="宋体" w:hAnsi="宋体"/>
          <w:sz w:val="24"/>
        </w:rPr>
      </w:pPr>
    </w:p>
    <w:p>
      <w:pPr>
        <w:pStyle w:val="5"/>
        <w:spacing w:before="0" w:after="0" w:line="400" w:lineRule="exact"/>
        <w:rPr>
          <w:rFonts w:ascii="宋体" w:hAnsi="宋体" w:eastAsia="宋体" w:cs="宋体"/>
          <w:sz w:val="24"/>
          <w:szCs w:val="24"/>
        </w:rPr>
      </w:pPr>
      <w:r>
        <w:rPr>
          <w:rFonts w:hint="eastAsia" w:ascii="宋体" w:hAnsi="宋体" w:eastAsia="宋体" w:cs="宋体"/>
          <w:sz w:val="24"/>
          <w:szCs w:val="24"/>
        </w:rPr>
        <w:t>一、项目基本情况：</w:t>
      </w:r>
    </w:p>
    <w:p>
      <w:pPr>
        <w:spacing w:line="400" w:lineRule="exact"/>
        <w:ind w:firstLine="480" w:firstLineChars="200"/>
        <w:rPr>
          <w:rFonts w:ascii="宋体" w:hAnsi="宋体"/>
          <w:sz w:val="24"/>
        </w:rPr>
      </w:pPr>
      <w:r>
        <w:rPr>
          <w:rFonts w:hint="eastAsia" w:ascii="宋体" w:hAnsi="宋体"/>
          <w:sz w:val="24"/>
        </w:rPr>
        <w:t>项目名称：医院协同管理系统</w:t>
      </w:r>
      <w:r>
        <w:rPr>
          <w:rFonts w:hint="eastAsia" w:ascii="宋体" w:hAnsi="宋体"/>
          <w:sz w:val="24"/>
          <w:lang w:val="en-US" w:eastAsia="zh-CN"/>
        </w:rPr>
        <w:t>项目</w:t>
      </w:r>
    </w:p>
    <w:p>
      <w:pPr>
        <w:spacing w:line="400" w:lineRule="exact"/>
        <w:ind w:firstLine="480" w:firstLineChars="200"/>
        <w:rPr>
          <w:rFonts w:ascii="宋体" w:hAnsi="宋体"/>
          <w:sz w:val="24"/>
        </w:rPr>
      </w:pPr>
      <w:r>
        <w:rPr>
          <w:rFonts w:hint="eastAsia" w:ascii="宋体" w:hAnsi="宋体"/>
          <w:sz w:val="24"/>
        </w:rPr>
        <w:t>预算金额及最高限价：</w:t>
      </w:r>
      <w:r>
        <w:rPr>
          <w:rFonts w:hint="eastAsia" w:ascii="宋体" w:hAnsi="宋体"/>
          <w:sz w:val="24"/>
          <w:lang w:val="en-US" w:eastAsia="zh-CN"/>
        </w:rPr>
        <w:t>15</w:t>
      </w:r>
      <w:r>
        <w:rPr>
          <w:rFonts w:hint="eastAsia" w:ascii="宋体" w:hAnsi="宋体"/>
          <w:sz w:val="24"/>
        </w:rPr>
        <w:t>0000元</w:t>
      </w:r>
    </w:p>
    <w:p>
      <w:pPr>
        <w:spacing w:line="400" w:lineRule="exact"/>
        <w:ind w:firstLine="480" w:firstLineChars="200"/>
        <w:rPr>
          <w:rFonts w:ascii="宋体" w:hAnsi="宋体"/>
          <w:sz w:val="24"/>
        </w:rPr>
      </w:pPr>
      <w:r>
        <w:rPr>
          <w:rFonts w:hint="eastAsia" w:ascii="宋体" w:hAnsi="宋体"/>
          <w:sz w:val="24"/>
        </w:rPr>
        <w:t>采购需求：本项目为</w:t>
      </w:r>
      <w:r>
        <w:rPr>
          <w:rFonts w:hint="eastAsia" w:ascii="宋体" w:hAnsi="宋体" w:cs="宋体"/>
          <w:sz w:val="24"/>
        </w:rPr>
        <w:t>江阴市</w:t>
      </w:r>
      <w:r>
        <w:rPr>
          <w:rFonts w:hint="eastAsia" w:ascii="宋体" w:hAnsi="宋体" w:cs="宋体"/>
          <w:sz w:val="24"/>
          <w:lang w:eastAsia="zh-CN"/>
        </w:rPr>
        <w:t>第五</w:t>
      </w:r>
      <w:r>
        <w:rPr>
          <w:rFonts w:hint="eastAsia" w:ascii="宋体" w:hAnsi="宋体" w:cs="宋体"/>
          <w:sz w:val="24"/>
        </w:rPr>
        <w:t>人民医院</w:t>
      </w:r>
      <w:r>
        <w:rPr>
          <w:rFonts w:hint="eastAsia" w:ascii="宋体" w:hAnsi="宋体"/>
          <w:sz w:val="24"/>
        </w:rPr>
        <w:t>的协同管理系统</w:t>
      </w:r>
      <w:r>
        <w:rPr>
          <w:rFonts w:hint="eastAsia" w:ascii="宋体" w:hAnsi="宋体"/>
          <w:sz w:val="24"/>
          <w:lang w:val="en-US" w:eastAsia="zh-CN"/>
        </w:rPr>
        <w:t>项目</w:t>
      </w:r>
      <w:r>
        <w:rPr>
          <w:rFonts w:hint="eastAsia" w:ascii="宋体" w:hAnsi="宋体"/>
          <w:sz w:val="24"/>
        </w:rPr>
        <w:t>。（详见招标文件）</w:t>
      </w:r>
    </w:p>
    <w:p>
      <w:pPr>
        <w:spacing w:line="400" w:lineRule="exact"/>
        <w:ind w:firstLine="480" w:firstLineChars="200"/>
        <w:rPr>
          <w:rFonts w:ascii="宋体" w:hAnsi="宋体"/>
          <w:sz w:val="24"/>
        </w:rPr>
      </w:pPr>
      <w:r>
        <w:rPr>
          <w:rFonts w:hint="eastAsia" w:ascii="宋体" w:hAnsi="宋体"/>
          <w:sz w:val="24"/>
        </w:rPr>
        <w:t>合同履行期限：详见招标文件</w:t>
      </w:r>
    </w:p>
    <w:p>
      <w:pPr>
        <w:spacing w:line="400" w:lineRule="exact"/>
        <w:ind w:firstLine="480" w:firstLineChars="200"/>
        <w:rPr>
          <w:rFonts w:ascii="宋体" w:hAnsi="宋体"/>
          <w:sz w:val="24"/>
        </w:rPr>
      </w:pPr>
      <w:r>
        <w:rPr>
          <w:rFonts w:hint="eastAsia" w:ascii="宋体" w:hAnsi="宋体"/>
          <w:sz w:val="24"/>
        </w:rPr>
        <w:t>本项目不接受联合体投标。</w:t>
      </w:r>
    </w:p>
    <w:p>
      <w:pPr>
        <w:spacing w:line="400" w:lineRule="exact"/>
        <w:ind w:firstLine="480" w:firstLineChars="200"/>
        <w:rPr>
          <w:rFonts w:ascii="宋体" w:hAnsi="宋体"/>
          <w:sz w:val="24"/>
        </w:rPr>
      </w:pPr>
      <w:bookmarkStart w:id="0" w:name="_Toc28359003"/>
      <w:bookmarkStart w:id="1" w:name="_Toc28359080"/>
      <w:bookmarkStart w:id="2" w:name="_Toc35393791"/>
      <w:bookmarkStart w:id="3" w:name="_Toc35393622"/>
      <w:r>
        <w:rPr>
          <w:rFonts w:hint="eastAsia" w:ascii="宋体" w:hAnsi="宋体"/>
          <w:sz w:val="24"/>
        </w:rPr>
        <w:t>本项目标的所属行业：</w:t>
      </w:r>
      <w:r>
        <w:rPr>
          <w:rFonts w:ascii="宋体" w:hAnsi="宋体" w:eastAsia="宋体" w:cs="宋体"/>
          <w:sz w:val="24"/>
          <w:szCs w:val="24"/>
        </w:rPr>
        <w:t>软件和信息技术服务业</w:t>
      </w:r>
      <w:r>
        <w:rPr>
          <w:rFonts w:hint="eastAsia" w:ascii="宋体" w:hAnsi="宋体"/>
          <w:sz w:val="24"/>
        </w:rPr>
        <w:t>。</w:t>
      </w:r>
    </w:p>
    <w:p>
      <w:pPr>
        <w:pStyle w:val="5"/>
        <w:spacing w:before="0" w:after="0" w:line="400" w:lineRule="exact"/>
        <w:rPr>
          <w:rFonts w:ascii="宋体" w:hAnsi="宋体" w:eastAsia="宋体" w:cs="宋体"/>
          <w:sz w:val="24"/>
          <w:szCs w:val="24"/>
        </w:rPr>
      </w:pPr>
      <w:r>
        <w:rPr>
          <w:rFonts w:hint="eastAsia" w:ascii="宋体" w:hAnsi="宋体" w:eastAsia="宋体" w:cs="宋体"/>
          <w:sz w:val="24"/>
          <w:szCs w:val="24"/>
        </w:rPr>
        <w:t>二、申请人的资格要求：</w:t>
      </w:r>
      <w:bookmarkEnd w:id="0"/>
      <w:bookmarkEnd w:id="1"/>
      <w:bookmarkEnd w:id="2"/>
      <w:bookmarkEnd w:id="3"/>
    </w:p>
    <w:p>
      <w:pPr>
        <w:spacing w:line="400" w:lineRule="exact"/>
        <w:ind w:firstLine="480" w:firstLineChars="200"/>
        <w:outlineLvl w:val="2"/>
        <w:rPr>
          <w:rFonts w:ascii="宋体" w:hAnsi="宋体"/>
          <w:sz w:val="24"/>
        </w:rPr>
      </w:pPr>
      <w:r>
        <w:rPr>
          <w:rFonts w:hint="eastAsia" w:ascii="宋体" w:hAnsi="宋体"/>
          <w:sz w:val="24"/>
        </w:rPr>
        <w:t>1、满足《中华人民共和国政府采购法》第二十二条规定；</w:t>
      </w:r>
    </w:p>
    <w:p>
      <w:pPr>
        <w:spacing w:line="400" w:lineRule="exact"/>
        <w:ind w:firstLine="480" w:firstLineChars="200"/>
        <w:rPr>
          <w:rFonts w:ascii="宋体" w:hAnsi="宋体"/>
          <w:sz w:val="24"/>
        </w:rPr>
      </w:pPr>
      <w:bookmarkStart w:id="4" w:name="_Toc28359081"/>
      <w:bookmarkStart w:id="5" w:name="_Toc28359004"/>
      <w:r>
        <w:rPr>
          <w:rFonts w:hint="eastAsia" w:ascii="宋体" w:hAnsi="宋体"/>
          <w:sz w:val="24"/>
        </w:rPr>
        <w:t>2、未被“信用中国”网站、“中国政府采购网”列入失信被执行人、重大税收违法失信主体、政府采购严重违法失信行为信息记录名单；</w:t>
      </w:r>
    </w:p>
    <w:p>
      <w:pPr>
        <w:spacing w:line="400" w:lineRule="exact"/>
        <w:ind w:firstLine="480" w:firstLineChars="200"/>
        <w:rPr>
          <w:rFonts w:ascii="宋体" w:hAnsi="宋体"/>
          <w:sz w:val="24"/>
        </w:rPr>
      </w:pPr>
      <w:r>
        <w:rPr>
          <w:rFonts w:hint="eastAsia" w:ascii="宋体" w:hAnsi="宋体"/>
          <w:sz w:val="24"/>
        </w:rPr>
        <w:t>3、落实政府采购政策需满足的资格要求：详见招标文件；</w:t>
      </w:r>
    </w:p>
    <w:p>
      <w:pPr>
        <w:adjustRightInd w:val="0"/>
        <w:snapToGrid w:val="0"/>
        <w:spacing w:line="400" w:lineRule="exact"/>
        <w:ind w:firstLine="480" w:firstLineChars="200"/>
        <w:rPr>
          <w:rFonts w:hint="eastAsia" w:ascii="宋体" w:hAnsi="宋体" w:eastAsia="宋体"/>
          <w:sz w:val="24"/>
          <w:lang w:eastAsia="zh-CN"/>
        </w:rPr>
      </w:pPr>
      <w:r>
        <w:rPr>
          <w:rFonts w:hint="eastAsia" w:ascii="宋体" w:hAnsi="宋体"/>
          <w:sz w:val="24"/>
        </w:rPr>
        <w:t>4、本项目的特定资格要求：</w:t>
      </w:r>
      <w:bookmarkStart w:id="6" w:name="_Toc35393792"/>
      <w:bookmarkStart w:id="7" w:name="_Toc35393623"/>
      <w:r>
        <w:rPr>
          <w:rFonts w:hint="eastAsia" w:ascii="宋体" w:hAnsi="宋体"/>
          <w:sz w:val="24"/>
          <w:lang w:eastAsia="zh-CN"/>
        </w:rPr>
        <w:t>无</w:t>
      </w:r>
    </w:p>
    <w:p>
      <w:pPr>
        <w:spacing w:line="400" w:lineRule="exact"/>
        <w:outlineLvl w:val="1"/>
        <w:rPr>
          <w:rFonts w:ascii="宋体" w:hAnsi="宋体" w:cs="宋体"/>
          <w:b/>
          <w:bCs/>
          <w:sz w:val="24"/>
        </w:rPr>
      </w:pPr>
      <w:r>
        <w:rPr>
          <w:rFonts w:hint="eastAsia" w:ascii="宋体" w:hAnsi="宋体" w:cs="宋体"/>
          <w:b/>
          <w:bCs/>
          <w:sz w:val="24"/>
        </w:rPr>
        <w:t>三、获取招标文件</w:t>
      </w:r>
      <w:bookmarkEnd w:id="4"/>
      <w:bookmarkEnd w:id="5"/>
      <w:bookmarkEnd w:id="6"/>
      <w:bookmarkEnd w:id="7"/>
      <w:r>
        <w:rPr>
          <w:rFonts w:hint="eastAsia" w:ascii="宋体" w:hAnsi="宋体" w:cs="宋体"/>
          <w:b/>
          <w:bCs/>
          <w:sz w:val="24"/>
        </w:rPr>
        <w:t>：</w:t>
      </w:r>
    </w:p>
    <w:p>
      <w:pPr>
        <w:pStyle w:val="5"/>
        <w:spacing w:before="0" w:after="0" w:line="400" w:lineRule="exact"/>
        <w:ind w:firstLine="480" w:firstLineChars="200"/>
        <w:rPr>
          <w:rFonts w:hint="eastAsia" w:ascii="宋体" w:hAnsi="宋体" w:eastAsia="宋体" w:cs="宋体"/>
          <w:b w:val="0"/>
          <w:bCs w:val="0"/>
          <w:sz w:val="24"/>
          <w:szCs w:val="24"/>
          <w:lang w:val="en-US" w:eastAsia="zh-CN"/>
        </w:rPr>
      </w:pPr>
      <w:bookmarkStart w:id="8" w:name="_Toc28359082"/>
      <w:bookmarkStart w:id="9" w:name="_Toc28359005"/>
      <w:bookmarkStart w:id="10" w:name="_Toc35393624"/>
      <w:bookmarkStart w:id="11" w:name="_Toc35393793"/>
      <w:r>
        <w:rPr>
          <w:rFonts w:hint="eastAsia" w:ascii="宋体" w:hAnsi="宋体" w:eastAsia="宋体" w:cs="宋体"/>
          <w:b w:val="0"/>
          <w:bCs w:val="0"/>
          <w:sz w:val="24"/>
          <w:szCs w:val="24"/>
          <w:lang w:val="en-US" w:eastAsia="zh-CN"/>
        </w:rPr>
        <w:t>1、招标文件在江阴市第五人民医院（http://www.jysdwrmyy.com/）采购公告附件中自行下载；</w:t>
      </w:r>
    </w:p>
    <w:p>
      <w:pPr>
        <w:pStyle w:val="5"/>
        <w:spacing w:before="0" w:after="0" w:line="400" w:lineRule="exact"/>
        <w:ind w:firstLine="480" w:firstLineChars="200"/>
        <w:outlineLvl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2、请及时关注是否有变更信息，我们将通过网站及时发布更正信息。</w:t>
      </w:r>
    </w:p>
    <w:p>
      <w:pPr>
        <w:pStyle w:val="5"/>
        <w:spacing w:before="0" w:after="0" w:line="400" w:lineRule="exact"/>
        <w:rPr>
          <w:rFonts w:ascii="宋体" w:hAnsi="宋体" w:eastAsia="宋体" w:cs="宋体"/>
          <w:sz w:val="24"/>
          <w:szCs w:val="24"/>
        </w:rPr>
      </w:pPr>
      <w:r>
        <w:rPr>
          <w:rFonts w:hint="eastAsia" w:ascii="宋体" w:hAnsi="宋体" w:eastAsia="宋体" w:cs="宋体"/>
          <w:sz w:val="24"/>
          <w:szCs w:val="24"/>
        </w:rPr>
        <w:t>四、提交投标文件</w:t>
      </w:r>
      <w:bookmarkEnd w:id="8"/>
      <w:bookmarkEnd w:id="9"/>
      <w:r>
        <w:rPr>
          <w:rFonts w:hint="eastAsia" w:ascii="宋体" w:hAnsi="宋体" w:eastAsia="宋体" w:cs="宋体"/>
          <w:sz w:val="24"/>
          <w:szCs w:val="24"/>
        </w:rPr>
        <w:t>截止时间、开标时间和地点</w:t>
      </w:r>
      <w:bookmarkEnd w:id="10"/>
      <w:bookmarkEnd w:id="11"/>
      <w:r>
        <w:rPr>
          <w:rFonts w:hint="eastAsia" w:ascii="宋体" w:hAnsi="宋体" w:eastAsia="宋体" w:cs="宋体"/>
          <w:sz w:val="24"/>
          <w:szCs w:val="24"/>
        </w:rPr>
        <w:t>：</w:t>
      </w:r>
    </w:p>
    <w:p>
      <w:pPr>
        <w:spacing w:line="400" w:lineRule="exact"/>
        <w:ind w:firstLine="480" w:firstLineChars="200"/>
        <w:rPr>
          <w:rFonts w:ascii="宋体" w:hAnsi="宋体"/>
          <w:sz w:val="24"/>
        </w:rPr>
      </w:pPr>
      <w:r>
        <w:rPr>
          <w:rFonts w:hint="eastAsia" w:ascii="宋体" w:hAnsi="宋体"/>
          <w:sz w:val="24"/>
        </w:rPr>
        <w:t>1、提交投标文件截止时间：202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14</w:t>
      </w:r>
      <w:r>
        <w:rPr>
          <w:rFonts w:hint="eastAsia" w:ascii="宋体" w:hAnsi="宋体"/>
          <w:sz w:val="24"/>
        </w:rPr>
        <w:t>日下午1</w:t>
      </w:r>
      <w:r>
        <w:rPr>
          <w:rFonts w:hint="eastAsia" w:ascii="宋体" w:hAnsi="宋体"/>
          <w:sz w:val="24"/>
          <w:lang w:val="en-US" w:eastAsia="zh-CN"/>
        </w:rPr>
        <w:t>6</w:t>
      </w:r>
      <w:r>
        <w:rPr>
          <w:rFonts w:hint="eastAsia" w:ascii="宋体" w:hAnsi="宋体"/>
          <w:sz w:val="24"/>
        </w:rPr>
        <w:t>:30（北京时间）</w:t>
      </w:r>
    </w:p>
    <w:p>
      <w:pPr>
        <w:spacing w:line="400" w:lineRule="exact"/>
        <w:ind w:firstLine="480" w:firstLineChars="200"/>
        <w:rPr>
          <w:rFonts w:ascii="宋体" w:hAnsi="宋体"/>
          <w:sz w:val="24"/>
        </w:rPr>
      </w:pPr>
      <w:r>
        <w:rPr>
          <w:rFonts w:hint="eastAsia" w:ascii="宋体" w:hAnsi="宋体"/>
          <w:sz w:val="24"/>
        </w:rPr>
        <w:t>2、开标时间：202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15</w:t>
      </w:r>
      <w:r>
        <w:rPr>
          <w:rFonts w:hint="eastAsia" w:ascii="宋体" w:hAnsi="宋体"/>
          <w:sz w:val="24"/>
        </w:rPr>
        <w:t>日下午13:30（北京时间）</w:t>
      </w:r>
    </w:p>
    <w:p>
      <w:pPr>
        <w:spacing w:line="400" w:lineRule="exact"/>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投标文件接收地点：江阴市第五人民医院行政会议室</w:t>
      </w:r>
    </w:p>
    <w:p>
      <w:pPr>
        <w:pStyle w:val="5"/>
        <w:spacing w:before="0" w:after="0" w:line="400" w:lineRule="exact"/>
        <w:rPr>
          <w:rFonts w:ascii="宋体" w:hAnsi="宋体" w:eastAsia="宋体" w:cs="宋体"/>
          <w:sz w:val="24"/>
          <w:szCs w:val="24"/>
        </w:rPr>
      </w:pPr>
      <w:bookmarkStart w:id="12" w:name="_Toc28359007"/>
      <w:bookmarkStart w:id="13" w:name="_Toc35393625"/>
      <w:bookmarkStart w:id="14" w:name="_Toc28359084"/>
      <w:bookmarkStart w:id="15" w:name="_Toc35393794"/>
      <w:r>
        <w:rPr>
          <w:rFonts w:hint="eastAsia" w:ascii="宋体" w:hAnsi="宋体" w:eastAsia="宋体" w:cs="宋体"/>
          <w:sz w:val="24"/>
          <w:szCs w:val="24"/>
        </w:rPr>
        <w:t>五、公告期限</w:t>
      </w:r>
      <w:bookmarkEnd w:id="12"/>
      <w:bookmarkEnd w:id="13"/>
      <w:bookmarkEnd w:id="14"/>
      <w:bookmarkEnd w:id="15"/>
      <w:r>
        <w:rPr>
          <w:rFonts w:hint="eastAsia" w:ascii="宋体" w:hAnsi="宋体" w:eastAsia="宋体" w:cs="宋体"/>
          <w:sz w:val="24"/>
          <w:szCs w:val="24"/>
        </w:rPr>
        <w:t>：</w:t>
      </w:r>
    </w:p>
    <w:p>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pStyle w:val="5"/>
        <w:spacing w:before="0" w:after="0" w:line="400" w:lineRule="exact"/>
        <w:rPr>
          <w:rFonts w:ascii="宋体" w:hAnsi="宋体" w:eastAsia="宋体" w:cs="宋体"/>
          <w:sz w:val="24"/>
          <w:szCs w:val="24"/>
        </w:rPr>
      </w:pPr>
      <w:bookmarkStart w:id="16" w:name="_Toc28359008"/>
      <w:bookmarkStart w:id="17" w:name="_Toc28359085"/>
      <w:bookmarkStart w:id="18" w:name="_Toc35393627"/>
      <w:bookmarkStart w:id="19" w:name="_Toc35393796"/>
      <w:r>
        <w:rPr>
          <w:rFonts w:hint="eastAsia" w:ascii="宋体" w:hAnsi="宋体" w:eastAsia="宋体" w:cs="宋体"/>
          <w:sz w:val="24"/>
          <w:szCs w:val="24"/>
          <w:lang w:val="en-US" w:eastAsia="zh-CN"/>
        </w:rPr>
        <w:t>六</w:t>
      </w:r>
      <w:r>
        <w:rPr>
          <w:rFonts w:hint="eastAsia" w:ascii="宋体" w:hAnsi="宋体" w:eastAsia="宋体" w:cs="宋体"/>
          <w:sz w:val="24"/>
          <w:szCs w:val="24"/>
        </w:rPr>
        <w:t>、对本次招标提出询问，请按以下方式联系</w:t>
      </w:r>
      <w:bookmarkEnd w:id="16"/>
      <w:bookmarkEnd w:id="17"/>
      <w:bookmarkEnd w:id="18"/>
      <w:bookmarkEnd w:id="19"/>
      <w:r>
        <w:rPr>
          <w:rFonts w:hint="eastAsia" w:ascii="宋体" w:hAnsi="宋体" w:eastAsia="宋体" w:cs="宋体"/>
          <w:sz w:val="24"/>
          <w:szCs w:val="24"/>
        </w:rPr>
        <w:t>。</w:t>
      </w:r>
    </w:p>
    <w:p>
      <w:pPr>
        <w:spacing w:line="400" w:lineRule="exact"/>
        <w:ind w:firstLine="480" w:firstLineChars="200"/>
        <w:outlineLvl w:val="2"/>
        <w:rPr>
          <w:rFonts w:ascii="宋体" w:hAnsi="宋体"/>
          <w:sz w:val="24"/>
        </w:rPr>
      </w:pPr>
      <w:bookmarkStart w:id="20" w:name="_Toc28359009"/>
      <w:bookmarkStart w:id="21" w:name="_Toc28359086"/>
      <w:r>
        <w:rPr>
          <w:rFonts w:hint="eastAsia" w:ascii="宋体" w:hAnsi="宋体"/>
          <w:sz w:val="24"/>
        </w:rPr>
        <w:t>1、采购人信息</w:t>
      </w:r>
    </w:p>
    <w:p>
      <w:pPr>
        <w:spacing w:line="400" w:lineRule="exact"/>
        <w:ind w:firstLine="480" w:firstLineChars="200"/>
        <w:jc w:val="left"/>
        <w:rPr>
          <w:rFonts w:ascii="宋体" w:hAnsi="宋体" w:cs="宋体"/>
          <w:sz w:val="24"/>
        </w:rPr>
      </w:pPr>
      <w:r>
        <w:rPr>
          <w:rFonts w:hint="eastAsia" w:ascii="宋体" w:hAnsi="宋体" w:cs="宋体"/>
          <w:sz w:val="24"/>
        </w:rPr>
        <w:t>名　　称：江阴市</w:t>
      </w:r>
      <w:r>
        <w:rPr>
          <w:rFonts w:hint="eastAsia" w:ascii="宋体" w:hAnsi="宋体" w:cs="宋体"/>
          <w:sz w:val="24"/>
          <w:lang w:eastAsia="zh-CN"/>
        </w:rPr>
        <w:t>第五</w:t>
      </w:r>
      <w:r>
        <w:rPr>
          <w:rFonts w:hint="eastAsia" w:ascii="宋体" w:hAnsi="宋体" w:cs="宋体"/>
          <w:sz w:val="24"/>
        </w:rPr>
        <w:t>人民医院</w:t>
      </w:r>
    </w:p>
    <w:p>
      <w:pPr>
        <w:spacing w:line="400" w:lineRule="exact"/>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江阴市祝塘镇镇北路85号</w:t>
      </w:r>
    </w:p>
    <w:p>
      <w:pPr>
        <w:spacing w:line="400" w:lineRule="exact"/>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eastAsia="zh-CN"/>
        </w:rPr>
        <w:t>张</w:t>
      </w:r>
      <w:r>
        <w:rPr>
          <w:rFonts w:hint="eastAsia" w:ascii="宋体" w:hAnsi="宋体" w:cs="宋体"/>
          <w:sz w:val="24"/>
        </w:rPr>
        <w:t>先生</w:t>
      </w:r>
    </w:p>
    <w:p>
      <w:pPr>
        <w:spacing w:line="400" w:lineRule="exact"/>
        <w:ind w:firstLine="480" w:firstLineChars="200"/>
        <w:jc w:val="left"/>
        <w:rPr>
          <w:rFonts w:hint="default" w:ascii="宋体" w:hAnsi="宋体"/>
          <w:sz w:val="24"/>
          <w:lang w:val="en-US"/>
        </w:rPr>
      </w:pPr>
      <w:r>
        <w:rPr>
          <w:rFonts w:hint="eastAsia" w:ascii="宋体" w:hAnsi="宋体" w:cs="宋体"/>
          <w:sz w:val="24"/>
        </w:rPr>
        <w:t>联系电话：</w:t>
      </w:r>
      <w:bookmarkEnd w:id="20"/>
      <w:bookmarkEnd w:id="21"/>
      <w:r>
        <w:rPr>
          <w:rFonts w:hint="eastAsia" w:ascii="宋体" w:hAnsi="宋体" w:cs="宋体"/>
          <w:sz w:val="24"/>
          <w:lang w:val="en-US" w:eastAsia="zh-CN"/>
        </w:rPr>
        <w:t>18914170216</w:t>
      </w:r>
    </w:p>
    <w:p>
      <w:pPr>
        <w:adjustRightInd w:val="0"/>
        <w:snapToGrid w:val="0"/>
        <w:spacing w:line="400" w:lineRule="exact"/>
        <w:ind w:right="240"/>
        <w:jc w:val="right"/>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7</w:t>
      </w:r>
      <w:r>
        <w:rPr>
          <w:rFonts w:hint="eastAsia" w:ascii="宋体" w:hAnsi="宋体"/>
          <w:sz w:val="24"/>
        </w:rPr>
        <w:t>日</w:t>
      </w:r>
    </w:p>
    <w:p>
      <w:r>
        <w:br w:type="page"/>
      </w:r>
    </w:p>
    <w:p>
      <w:pPr>
        <w:keepNext w:val="0"/>
        <w:keepLines w:val="0"/>
        <w:widowControl w:val="0"/>
        <w:numPr>
          <w:ilvl w:val="0"/>
          <w:numId w:val="2"/>
        </w:numPr>
        <w:suppressLineNumbers w:val="0"/>
        <w:adjustRightInd w:val="0"/>
        <w:snapToGrid w:val="0"/>
        <w:spacing w:before="0" w:beforeAutospacing="0" w:after="0" w:afterAutospacing="0" w:line="400" w:lineRule="exact"/>
        <w:ind w:left="0" w:right="0"/>
        <w:jc w:val="center"/>
        <w:rPr>
          <w:rFonts w:hint="eastAsia" w:ascii="黑体" w:hAnsi="Times New Roman" w:eastAsia="黑体" w:cs="黑体"/>
          <w:kern w:val="2"/>
          <w:sz w:val="30"/>
          <w:szCs w:val="30"/>
          <w:lang w:val="en-US" w:eastAsia="zh-CN"/>
        </w:rPr>
      </w:pPr>
      <w:r>
        <w:rPr>
          <w:rFonts w:hint="eastAsia" w:ascii="黑体" w:hAnsi="Times New Roman" w:eastAsia="黑体" w:cs="黑体"/>
          <w:kern w:val="2"/>
          <w:sz w:val="30"/>
          <w:szCs w:val="30"/>
          <w:lang w:val="en-US" w:eastAsia="zh-CN"/>
        </w:rPr>
        <w:t>投标人须知前附表</w:t>
      </w:r>
    </w:p>
    <w:p>
      <w:pPr>
        <w:pStyle w:val="2"/>
        <w:widowControl w:val="0"/>
        <w:numPr>
          <w:ilvl w:val="0"/>
          <w:numId w:val="0"/>
        </w:numPr>
        <w:adjustRightInd w:val="0"/>
        <w:snapToGrid w:val="0"/>
        <w:spacing w:line="480" w:lineRule="exact"/>
        <w:jc w:val="both"/>
        <w:textAlignment w:val="baseline"/>
        <w:rPr>
          <w:rFonts w:hint="eastAsia"/>
          <w:lang w:val="en-US"/>
        </w:rPr>
      </w:pPr>
    </w:p>
    <w:p>
      <w:pPr>
        <w:pStyle w:val="2"/>
        <w:widowControl w:val="0"/>
        <w:numPr>
          <w:ilvl w:val="0"/>
          <w:numId w:val="0"/>
        </w:numPr>
        <w:adjustRightInd w:val="0"/>
        <w:snapToGrid w:val="0"/>
        <w:spacing w:line="480" w:lineRule="exact"/>
        <w:jc w:val="both"/>
        <w:textAlignment w:val="baseline"/>
        <w:rPr>
          <w:rFonts w:hint="eastAsia"/>
          <w:lang w:val="en-US"/>
        </w:rPr>
      </w:pPr>
    </w:p>
    <w:p>
      <w:pPr>
        <w:pStyle w:val="2"/>
        <w:widowControl w:val="0"/>
        <w:numPr>
          <w:ilvl w:val="0"/>
          <w:numId w:val="0"/>
        </w:numPr>
        <w:adjustRightInd w:val="0"/>
        <w:snapToGrid w:val="0"/>
        <w:spacing w:line="480" w:lineRule="exact"/>
        <w:jc w:val="both"/>
        <w:textAlignment w:val="baseline"/>
        <w:rPr>
          <w:rFonts w:hint="eastAsia"/>
          <w:lang w:val="en-US"/>
        </w:rPr>
      </w:pPr>
    </w:p>
    <w:p>
      <w:pPr>
        <w:keepNext w:val="0"/>
        <w:keepLines w:val="0"/>
        <w:widowControl w:val="0"/>
        <w:suppressLineNumbers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8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750" w:type="dxa"/>
            <w:tcBorders>
              <w:top w:val="single" w:color="auto" w:sz="12" w:space="0"/>
              <w:left w:val="single" w:color="auto" w:sz="12" w:space="0"/>
              <w:bottom w:val="single" w:color="auto" w:sz="6" w:space="0"/>
              <w:right w:val="single" w:color="auto" w:sz="6" w:space="0"/>
            </w:tcBorders>
            <w:noWrap w:val="0"/>
            <w:vAlign w:val="top"/>
          </w:tcPr>
          <w:p>
            <w:pPr>
              <w:keepNext w:val="0"/>
              <w:keepLines w:val="0"/>
              <w:widowControl w:val="0"/>
              <w:suppressLineNumbers w:val="0"/>
              <w:spacing w:before="0" w:beforeAutospacing="0" w:after="0" w:afterAutospacing="0" w:line="380" w:lineRule="exact"/>
              <w:ind w:left="0" w:right="0"/>
              <w:jc w:val="center"/>
              <w:rPr>
                <w:rFonts w:hint="eastAsia" w:ascii="黑体" w:hAnsi="宋体" w:eastAsia="黑体" w:cs="黑体"/>
                <w:bCs/>
                <w:sz w:val="24"/>
                <w:szCs w:val="24"/>
                <w:lang w:val="en-US"/>
              </w:rPr>
            </w:pPr>
            <w:r>
              <w:rPr>
                <w:rFonts w:hint="eastAsia" w:ascii="黑体" w:hAnsi="宋体" w:eastAsia="黑体" w:cs="黑体"/>
                <w:bCs/>
                <w:sz w:val="24"/>
                <w:szCs w:val="24"/>
              </w:rPr>
              <w:t>序号</w:t>
            </w:r>
          </w:p>
        </w:tc>
        <w:tc>
          <w:tcPr>
            <w:tcW w:w="8889"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黑体" w:hAnsi="宋体" w:eastAsia="黑体" w:cs="黑体"/>
                <w:bCs/>
                <w:sz w:val="24"/>
                <w:szCs w:val="24"/>
                <w:lang w:val="en-US"/>
              </w:rPr>
            </w:pPr>
            <w:r>
              <w:rPr>
                <w:rFonts w:hint="eastAsia" w:ascii="黑体" w:hAnsi="宋体" w:eastAsia="黑体" w:cs="黑体"/>
                <w:bCs/>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1</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项目名称：协同管理系统项目</w:t>
            </w:r>
            <w:r>
              <w:rPr>
                <w:rFonts w:hint="eastAsia" w:ascii="楷体_GB2312" w:hAnsi="Times New Roman" w:eastAsia="楷体_GB2312" w:cs="楷体_GB2312"/>
                <w:bCs/>
                <w:kern w:val="2"/>
                <w:sz w:val="24"/>
                <w:szCs w:val="24"/>
                <w:lang w:val="en-US" w:eastAsia="zh-CN"/>
              </w:rPr>
              <w:t xml:space="preserve">                </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采购人：江阴市</w:t>
            </w:r>
            <w:r>
              <w:rPr>
                <w:rFonts w:hint="eastAsia" w:ascii="楷体_GB2312" w:eastAsia="楷体_GB2312" w:cs="楷体_GB2312"/>
                <w:sz w:val="24"/>
                <w:szCs w:val="24"/>
                <w:lang w:eastAsia="zh-CN"/>
              </w:rPr>
              <w:t>第五</w:t>
            </w:r>
            <w:r>
              <w:rPr>
                <w:rFonts w:hint="eastAsia" w:ascii="楷体_GB2312" w:eastAsia="楷体_GB2312" w:cs="楷体_GB2312"/>
                <w:sz w:val="24"/>
                <w:szCs w:val="24"/>
              </w:rPr>
              <w:t>人民医院</w:t>
            </w:r>
            <w:r>
              <w:rPr>
                <w:rFonts w:hint="eastAsia" w:ascii="楷体_GB2312" w:eastAsia="楷体_GB2312" w:cs="楷体_GB2312"/>
                <w:sz w:val="24"/>
                <w:szCs w:val="24"/>
                <w:lang w:val="en-US"/>
              </w:rPr>
              <w:t xml:space="preserve">                  </w:t>
            </w:r>
            <w:r>
              <w:rPr>
                <w:rFonts w:hint="eastAsia" w:ascii="楷体_GB2312" w:eastAsia="楷体_GB2312" w:cs="楷体_GB2312"/>
                <w:sz w:val="24"/>
                <w:szCs w:val="24"/>
              </w:rPr>
              <w:t>采购方式：公开招标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2</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采购机构：</w:t>
            </w:r>
            <w:r>
              <w:rPr>
                <w:rFonts w:hint="eastAsia" w:ascii="楷体_GB2312" w:eastAsia="楷体_GB2312" w:cs="楷体_GB2312"/>
                <w:sz w:val="24"/>
                <w:szCs w:val="24"/>
              </w:rPr>
              <w:t>江阴市</w:t>
            </w:r>
            <w:r>
              <w:rPr>
                <w:rFonts w:hint="eastAsia" w:ascii="楷体_GB2312" w:eastAsia="楷体_GB2312" w:cs="楷体_GB2312"/>
                <w:sz w:val="24"/>
                <w:szCs w:val="24"/>
                <w:lang w:eastAsia="zh-CN"/>
              </w:rPr>
              <w:t>第五</w:t>
            </w:r>
            <w:r>
              <w:rPr>
                <w:rFonts w:hint="eastAsia" w:ascii="楷体_GB2312" w:eastAsia="楷体_GB2312" w:cs="楷体_GB2312"/>
                <w:sz w:val="24"/>
                <w:szCs w:val="24"/>
              </w:rPr>
              <w:t>人民医院</w:t>
            </w:r>
            <w:r>
              <w:rPr>
                <w:rFonts w:hint="eastAsia" w:ascii="楷体_GB2312" w:eastAsia="楷体_GB2312" w:cs="楷体_GB2312"/>
                <w:sz w:val="24"/>
                <w:szCs w:val="24"/>
                <w:lang w:val="en-US"/>
              </w:rPr>
              <w:t xml:space="preserve"> </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地址：</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祝塘镇镇北路</w:t>
            </w:r>
            <w:r>
              <w:rPr>
                <w:rFonts w:hint="eastAsia" w:ascii="楷体_GB2312" w:eastAsia="楷体_GB2312" w:cs="楷体_GB2312"/>
                <w:b/>
                <w:bCs w:val="0"/>
                <w:sz w:val="24"/>
                <w:szCs w:val="24"/>
                <w:lang w:val="en-US" w:eastAsia="zh-CN"/>
              </w:rPr>
              <w:t>85号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3</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default" w:ascii="楷体_GB2312" w:eastAsia="楷体_GB2312" w:cs="楷体_GB2312"/>
                <w:sz w:val="24"/>
                <w:szCs w:val="24"/>
                <w:lang w:val="en-US"/>
              </w:rPr>
            </w:pPr>
            <w:r>
              <w:rPr>
                <w:rFonts w:hint="eastAsia" w:ascii="楷体_GB2312" w:hAnsi="Times New Roman" w:eastAsia="楷体_GB2312" w:cs="楷体_GB2312"/>
                <w:b/>
                <w:bCs w:val="0"/>
                <w:kern w:val="2"/>
                <w:sz w:val="24"/>
                <w:szCs w:val="24"/>
                <w:lang w:val="en-US" w:eastAsia="zh-CN"/>
              </w:rPr>
              <w:t>投标时间</w:t>
            </w:r>
            <w:r>
              <w:rPr>
                <w:rFonts w:hint="eastAsia" w:ascii="楷体_GB2312" w:hAnsi="Times New Roman" w:eastAsia="楷体_GB2312" w:cs="楷体_GB2312"/>
                <w:kern w:val="2"/>
                <w:sz w:val="24"/>
                <w:szCs w:val="24"/>
                <w:lang w:val="en-US" w:eastAsia="zh-CN"/>
              </w:rPr>
              <w:t>：2023年 6月14  日16:30 止</w:t>
            </w:r>
          </w:p>
          <w:p>
            <w:pPr>
              <w:keepNext w:val="0"/>
              <w:keepLines w:val="0"/>
              <w:widowControl w:val="0"/>
              <w:suppressLineNumbers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截止期后的投标文件，恕不接受。</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地点：</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第五人民医院行政会议室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4</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 xml:space="preserve">开标时间：2023年 6月 15日　下午13:30起 </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b/>
                <w:bCs w:val="0"/>
                <w:sz w:val="24"/>
                <w:szCs w:val="24"/>
                <w:lang w:val="en-US"/>
              </w:rPr>
            </w:pPr>
            <w:r>
              <w:rPr>
                <w:rFonts w:hint="eastAsia" w:ascii="楷体_GB2312" w:eastAsia="楷体_GB2312" w:cs="楷体_GB2312"/>
                <w:sz w:val="24"/>
                <w:szCs w:val="24"/>
              </w:rPr>
              <w:t>地点：</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第五人民医院行政会议室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5</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确定中标单位时间：评审结束后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6</w:t>
            </w:r>
          </w:p>
        </w:tc>
        <w:tc>
          <w:tcPr>
            <w:tcW w:w="8889" w:type="dxa"/>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投标文件正本份数：1份</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投标文件副本份数：</w:t>
            </w:r>
            <w:r>
              <w:rPr>
                <w:rFonts w:hint="eastAsia" w:ascii="楷体_GB2312" w:eastAsia="楷体_GB2312" w:cs="楷体_GB2312"/>
                <w:sz w:val="24"/>
                <w:szCs w:val="24"/>
                <w:lang w:val="en-US" w:eastAsia="zh-CN"/>
              </w:rPr>
              <w:t>2</w:t>
            </w:r>
            <w:r>
              <w:rPr>
                <w:rFonts w:hint="eastAsia" w:ascii="楷体_GB2312" w:eastAsia="楷体_GB2312" w:cs="楷体_GB2312"/>
                <w:sz w:val="24"/>
                <w:szCs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7</w:t>
            </w:r>
          </w:p>
        </w:tc>
        <w:tc>
          <w:tcPr>
            <w:tcW w:w="8889" w:type="dxa"/>
            <w:tcBorders>
              <w:top w:val="single" w:color="auto" w:sz="6" w:space="0"/>
              <w:left w:val="single" w:color="auto" w:sz="6" w:space="0"/>
              <w:bottom w:val="single" w:color="auto" w:sz="12" w:space="0"/>
              <w:right w:val="single" w:color="auto" w:sz="12" w:space="0"/>
            </w:tcBorders>
            <w:noWrap w:val="0"/>
            <w:vAlign w:val="top"/>
          </w:tcPr>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江阴市第五人民医院</w:t>
            </w:r>
          </w:p>
          <w:p>
            <w:pPr>
              <w:keepNext w:val="0"/>
              <w:keepLines w:val="0"/>
              <w:widowControl w:val="0"/>
              <w:suppressLineNumbers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项目负责人：张先生</w:t>
            </w:r>
          </w:p>
          <w:p>
            <w:pPr>
              <w:keepNext w:val="0"/>
              <w:keepLines w:val="0"/>
              <w:widowControl w:val="0"/>
              <w:suppressLineNumbers w:val="0"/>
              <w:spacing w:before="0" w:beforeAutospacing="0" w:after="0" w:afterAutospacing="0" w:line="380" w:lineRule="exact"/>
              <w:ind w:left="0" w:right="0"/>
              <w:jc w:val="both"/>
              <w:rPr>
                <w:rFonts w:hint="default"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联系电话：18914170216</w:t>
            </w:r>
          </w:p>
          <w:p>
            <w:pPr>
              <w:keepNext w:val="0"/>
              <w:keepLines w:val="0"/>
              <w:widowControl w:val="0"/>
              <w:suppressLineNumbers w:val="0"/>
              <w:adjustRightInd w:val="0"/>
              <w:snapToGrid w:val="0"/>
              <w:spacing w:before="0" w:beforeAutospacing="0" w:after="0" w:afterAutospacing="0" w:line="380" w:lineRule="exact"/>
              <w:ind w:left="0" w:right="0"/>
              <w:jc w:val="both"/>
              <w:rPr>
                <w:rFonts w:hint="eastAsia" w:ascii="楷体_GB2312" w:eastAsia="楷体_GB2312" w:cs="楷体_GB2312"/>
                <w:bCs/>
                <w:sz w:val="24"/>
                <w:szCs w:val="24"/>
                <w:lang w:val="en-US"/>
              </w:rPr>
            </w:pPr>
            <w:r>
              <w:rPr>
                <w:rFonts w:hint="eastAsia" w:ascii="楷体_GB2312" w:eastAsia="楷体_GB2312" w:cs="楷体_GB2312"/>
                <w:sz w:val="24"/>
                <w:szCs w:val="24"/>
              </w:rPr>
              <w:t>有关本次采购活动方面的问题，可来人或电话联系。</w:t>
            </w:r>
          </w:p>
        </w:tc>
      </w:tr>
    </w:tbl>
    <w:p>
      <w:r>
        <w:br w:type="page"/>
      </w:r>
    </w:p>
    <w:p>
      <w:pPr>
        <w:keepNext w:val="0"/>
        <w:keepLines w:val="0"/>
        <w:widowControl w:val="0"/>
        <w:suppressLineNumbers w:val="0"/>
        <w:spacing w:before="0" w:beforeAutospacing="0" w:after="0" w:afterAutospacing="0" w:line="400" w:lineRule="exact"/>
        <w:ind w:left="0" w:right="0"/>
        <w:jc w:val="center"/>
        <w:outlineLvl w:val="0"/>
        <w:rPr>
          <w:rFonts w:hint="eastAsia" w:ascii="黑体" w:eastAsia="黑体" w:cs="黑体"/>
          <w:sz w:val="30"/>
          <w:szCs w:val="30"/>
          <w:lang w:val="en-US"/>
        </w:rPr>
      </w:pPr>
      <w:r>
        <w:rPr>
          <w:rFonts w:hint="eastAsia" w:ascii="黑体" w:hAnsi="Times New Roman" w:eastAsia="黑体" w:cs="黑体"/>
          <w:kern w:val="2"/>
          <w:sz w:val="30"/>
          <w:szCs w:val="30"/>
          <w:lang w:val="en-US" w:eastAsia="zh-CN"/>
        </w:rPr>
        <w:t>第三章　投标人须知</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b/>
          <w:bCs w:val="0"/>
          <w:kern w:val="2"/>
          <w:sz w:val="28"/>
          <w:szCs w:val="28"/>
          <w:lang w:val="en-US" w:eastAsia="zh-CN"/>
        </w:rPr>
        <w:t>一、</w:t>
      </w:r>
      <w:r>
        <w:rPr>
          <w:rFonts w:hint="eastAsia" w:ascii="黑体" w:hAnsi="Times New Roman" w:eastAsia="黑体" w:cs="黑体"/>
          <w:kern w:val="2"/>
          <w:sz w:val="28"/>
          <w:szCs w:val="28"/>
          <w:lang w:val="en-US" w:eastAsia="zh-CN"/>
        </w:rPr>
        <w:t>遵循原则：</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公开透明原则、公平竞争原则、公正原则和诚实信用原则。</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二、招标文件：</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1、招标文件包括本文件目录所列全部内容，投标人应仔细阅读，并在投标文件中充分反映招标文件的所有要求。</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2、投标人应</w:t>
      </w:r>
      <w:r>
        <w:rPr>
          <w:rFonts w:hint="eastAsia" w:ascii="宋体" w:hAnsi="宋体" w:eastAsia="宋体" w:cs="宋体"/>
          <w:bCs/>
          <w:kern w:val="2"/>
          <w:sz w:val="24"/>
          <w:szCs w:val="24"/>
          <w:lang w:val="en-US" w:eastAsia="zh-CN"/>
        </w:rPr>
        <w:t>在</w:t>
      </w:r>
      <w:r>
        <w:rPr>
          <w:rFonts w:hint="eastAsia" w:ascii="宋体" w:hAnsi="宋体" w:eastAsia="宋体" w:cs="宋体"/>
          <w:kern w:val="2"/>
          <w:sz w:val="24"/>
          <w:szCs w:val="24"/>
          <w:lang w:val="en-US" w:eastAsia="zh-CN"/>
        </w:rPr>
        <w:t>江阴市第五人民医院（http://www.jysdwrmyy.com/）采购公告附件中</w:t>
      </w:r>
      <w:r>
        <w:rPr>
          <w:rFonts w:hint="eastAsia" w:ascii="宋体" w:hAnsi="宋体" w:eastAsia="宋体" w:cs="宋体"/>
          <w:bCs/>
          <w:kern w:val="2"/>
          <w:sz w:val="24"/>
          <w:szCs w:val="24"/>
          <w:lang w:val="en-US" w:eastAsia="zh-CN"/>
        </w:rPr>
        <w:t>下载</w:t>
      </w:r>
      <w:r>
        <w:rPr>
          <w:rFonts w:hint="eastAsia" w:ascii="宋体" w:hAnsi="宋体" w:eastAsia="宋体" w:cs="宋体"/>
          <w:kern w:val="2"/>
          <w:sz w:val="24"/>
          <w:szCs w:val="24"/>
          <w:lang w:val="en-US" w:eastAsia="zh-CN"/>
        </w:rPr>
        <w:t>招标文件及有关资料，按招标文件要求提交全部资料并对招标文件各项内容做出实质性响应，否则投标无效。</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3、投标人一旦参加本项目，即被认为接受了本招标文件中的所有条件和规定。</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4、招标文件仅作为本次招标使用。</w:t>
      </w:r>
    </w:p>
    <w:p>
      <w:pPr>
        <w:keepNext w:val="0"/>
        <w:keepLines w:val="0"/>
        <w:widowControl w:val="0"/>
        <w:suppressLineNumbers w:val="0"/>
        <w:tabs>
          <w:tab w:val="left" w:pos="2307"/>
        </w:tabs>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三、招标文件的解释：</w:t>
      </w:r>
      <w:r>
        <w:rPr>
          <w:rFonts w:hint="eastAsia" w:ascii="黑体" w:hAnsi="Times New Roman" w:eastAsia="黑体" w:cs="黑体"/>
          <w:kern w:val="2"/>
          <w:sz w:val="28"/>
          <w:szCs w:val="28"/>
          <w:lang w:val="en-US" w:eastAsia="zh-CN"/>
        </w:rPr>
        <w:tab/>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1、投标单位如有需要对招标文件要求澄清的问题，均应在开标前五日以书面形式提出（加盖公章），并送至江阴市第五人民医院。</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2、本文件的最终解释权归江阴市第五人民医院。</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 xml:space="preserve">四、招标文件的补充或修正： </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1、江阴市第五人民医院可以对已发出的招标文件进行必要的澄清或者修改。</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澄清或者修改在江阴市江阴市第五人民医院网站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3、澄清或者修改的内容可能影响投标文件编制的，江阴市第五人民医院将在投标截止时间至少5日前发布澄清公告；不足5日的顺延提交投标文件的截止时间和开标时间。</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五、投标文件的组成：</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投标文件由下列部分组成：</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（1）</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投标函；</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（2）</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开标一览表；</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（3）</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报价明细表；</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（4）</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详细配置一览表；</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（5）</w:t>
      </w:r>
      <w:r>
        <w:rPr>
          <w:rFonts w:hint="eastAsia" w:ascii="宋体" w:hAnsi="宋体" w:eastAsia="宋体" w:cs="宋体"/>
          <w:b/>
          <w:bCs w:val="0"/>
          <w:kern w:val="2"/>
          <w:sz w:val="24"/>
          <w:szCs w:val="24"/>
          <w:lang w:val="en-US" w:eastAsia="zh-CN"/>
        </w:rPr>
        <w:t>*</w:t>
      </w:r>
      <w:r>
        <w:rPr>
          <w:rFonts w:hint="eastAsia" w:ascii="宋体" w:hAnsi="宋体" w:eastAsia="宋体" w:cs="宋体"/>
          <w:bCs/>
          <w:kern w:val="2"/>
          <w:sz w:val="24"/>
          <w:szCs w:val="24"/>
          <w:lang w:val="en-US" w:eastAsia="zh-CN"/>
        </w:rPr>
        <w:t>技术要求响应及偏离表；</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（6）</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项目方案及投标货物综合性能说明；</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（7）</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基本服务承诺书；</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（8）</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4"/>
          <w:lang w:val="en-US" w:eastAsia="zh-CN"/>
        </w:rPr>
        <w:t>资格证明文件：</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Cs/>
          <w:sz w:val="24"/>
          <w:szCs w:val="24"/>
          <w:lang w:val="en-US"/>
        </w:rPr>
      </w:pPr>
      <w:r>
        <w:rPr>
          <w:rFonts w:hint="eastAsia" w:ascii="宋体" w:hAnsi="宋体" w:eastAsia="宋体" w:cs="宋体"/>
          <w:b/>
          <w:kern w:val="2"/>
          <w:sz w:val="24"/>
          <w:szCs w:val="24"/>
          <w:lang w:val="en-US" w:eastAsia="zh-CN"/>
        </w:rPr>
        <w:t>文件1：</w:t>
      </w:r>
      <w:r>
        <w:rPr>
          <w:rFonts w:hint="eastAsia" w:ascii="宋体" w:hAnsi="宋体" w:eastAsia="宋体" w:cs="宋体"/>
          <w:bCs/>
          <w:kern w:val="2"/>
          <w:sz w:val="24"/>
          <w:szCs w:val="24"/>
          <w:lang w:val="en-US" w:eastAsia="zh-CN"/>
        </w:rPr>
        <w:t>法人或者其他组织的</w:t>
      </w:r>
      <w:r>
        <w:rPr>
          <w:rFonts w:hint="eastAsia" w:ascii="宋体" w:hAnsi="宋体" w:eastAsia="宋体" w:cs="宋体"/>
          <w:b/>
          <w:bCs/>
          <w:kern w:val="2"/>
          <w:sz w:val="24"/>
          <w:szCs w:val="24"/>
          <w:lang w:val="en-US" w:eastAsia="zh-CN"/>
        </w:rPr>
        <w:t>营业执照、开户许可证等证明</w:t>
      </w:r>
      <w:r>
        <w:rPr>
          <w:rFonts w:hint="eastAsia" w:ascii="宋体" w:hAnsi="宋体" w:eastAsia="宋体" w:cs="宋体"/>
          <w:bCs/>
          <w:kern w:val="2"/>
          <w:sz w:val="24"/>
          <w:szCs w:val="24"/>
          <w:lang w:val="en-US" w:eastAsia="zh-CN"/>
        </w:rPr>
        <w:t>文件（复印件，原件或公证件备查）</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kern w:val="2"/>
          <w:sz w:val="24"/>
          <w:szCs w:val="24"/>
          <w:lang w:val="en-US" w:eastAsia="zh-CN"/>
        </w:rPr>
        <w:t>文件2：</w:t>
      </w:r>
      <w:r>
        <w:rPr>
          <w:rFonts w:hint="eastAsia" w:ascii="宋体" w:hAnsi="宋体" w:eastAsia="宋体" w:cs="宋体"/>
          <w:bCs/>
          <w:kern w:val="2"/>
          <w:sz w:val="24"/>
          <w:szCs w:val="24"/>
          <w:lang w:val="en-US" w:eastAsia="zh-CN"/>
        </w:rPr>
        <w:t>上一年度财务状况报告（提供投标单位财务状况报告复印件，成立不满一年不需提供）</w:t>
      </w:r>
    </w:p>
    <w:p>
      <w:pPr>
        <w:keepNext w:val="0"/>
        <w:keepLines w:val="0"/>
        <w:widowControl w:val="0"/>
        <w:suppressLineNumbers w:val="0"/>
        <w:spacing w:before="0" w:beforeAutospacing="0" w:after="0" w:afterAutospacing="0" w:line="400" w:lineRule="exact"/>
        <w:ind w:left="0" w:right="0" w:firstLine="482" w:firstLineChars="200"/>
        <w:jc w:val="both"/>
        <w:outlineLvl w:val="2"/>
        <w:rPr>
          <w:rFonts w:hint="eastAsia" w:ascii="宋体" w:hAnsi="宋体" w:eastAsia="宋体" w:cs="宋体"/>
          <w:bCs/>
          <w:sz w:val="24"/>
          <w:szCs w:val="24"/>
          <w:lang w:val="en-US"/>
        </w:rPr>
      </w:pPr>
      <w:r>
        <w:rPr>
          <w:rFonts w:hint="eastAsia" w:ascii="宋体" w:hAnsi="宋体" w:eastAsia="宋体" w:cs="宋体"/>
          <w:b/>
          <w:kern w:val="2"/>
          <w:sz w:val="24"/>
          <w:szCs w:val="24"/>
          <w:lang w:val="en-US" w:eastAsia="zh-CN"/>
        </w:rPr>
        <w:t>文件3：</w:t>
      </w:r>
      <w:r>
        <w:rPr>
          <w:rFonts w:hint="eastAsia" w:ascii="宋体" w:hAnsi="宋体" w:eastAsia="宋体" w:cs="宋体"/>
          <w:bCs/>
          <w:kern w:val="2"/>
          <w:sz w:val="24"/>
          <w:szCs w:val="24"/>
          <w:lang w:val="en-US" w:eastAsia="zh-CN"/>
        </w:rPr>
        <w:t>依法缴纳税收和社会保障资金的相关材料（提供复印件）</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kern w:val="2"/>
          <w:sz w:val="24"/>
          <w:szCs w:val="24"/>
          <w:lang w:val="en-US" w:eastAsia="zh-CN"/>
        </w:rPr>
        <w:t>文件4：</w:t>
      </w:r>
      <w:r>
        <w:rPr>
          <w:rFonts w:hint="eastAsia" w:ascii="宋体" w:hAnsi="宋体" w:eastAsia="宋体" w:cs="宋体"/>
          <w:bCs/>
          <w:kern w:val="2"/>
          <w:sz w:val="24"/>
          <w:szCs w:val="24"/>
          <w:lang w:val="en-US" w:eastAsia="zh-CN"/>
        </w:rPr>
        <w:t>具备履行合同所必需的设备和专业技术能力的书面声明（原件,格式见附件）</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Cs/>
          <w:sz w:val="24"/>
          <w:szCs w:val="24"/>
          <w:lang w:val="en-US"/>
        </w:rPr>
      </w:pPr>
      <w:r>
        <w:rPr>
          <w:rFonts w:hint="eastAsia" w:ascii="宋体" w:hAnsi="宋体" w:eastAsia="宋体" w:cs="宋体"/>
          <w:b/>
          <w:kern w:val="2"/>
          <w:sz w:val="24"/>
          <w:szCs w:val="24"/>
          <w:lang w:val="en-US" w:eastAsia="zh-CN"/>
        </w:rPr>
        <w:t>文件5：</w:t>
      </w:r>
      <w:r>
        <w:rPr>
          <w:rFonts w:hint="eastAsia" w:ascii="宋体" w:hAnsi="宋体" w:eastAsia="宋体" w:cs="宋体"/>
          <w:bCs/>
          <w:kern w:val="2"/>
          <w:sz w:val="24"/>
          <w:szCs w:val="24"/>
          <w:lang w:val="en-US" w:eastAsia="zh-CN"/>
        </w:rPr>
        <w:t>前3年内在经营活动中没有重大违法记录的书面声明（原件,格式见附件）</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Cs/>
          <w:sz w:val="24"/>
          <w:szCs w:val="24"/>
          <w:lang w:val="en-US"/>
        </w:rPr>
      </w:pPr>
      <w:r>
        <w:rPr>
          <w:rFonts w:hint="eastAsia" w:ascii="宋体" w:hAnsi="宋体" w:eastAsia="宋体" w:cs="宋体"/>
          <w:b/>
          <w:kern w:val="2"/>
          <w:sz w:val="24"/>
          <w:szCs w:val="24"/>
          <w:lang w:val="en-US" w:eastAsia="zh-CN"/>
        </w:rPr>
        <w:t>文件6：</w:t>
      </w:r>
      <w:r>
        <w:rPr>
          <w:rFonts w:hint="eastAsia" w:ascii="宋体" w:hAnsi="宋体" w:eastAsia="宋体" w:cs="宋体"/>
          <w:kern w:val="2"/>
          <w:sz w:val="24"/>
          <w:szCs w:val="24"/>
          <w:lang w:val="en-US" w:eastAsia="zh-CN"/>
        </w:rPr>
        <w:t>（投标人）法定代表人授权委托书（法定代表人签署投标文件且亲自参与的不需提供）</w:t>
      </w:r>
      <w:r>
        <w:rPr>
          <w:rFonts w:hint="eastAsia" w:ascii="宋体" w:hAnsi="宋体" w:eastAsia="宋体" w:cs="宋体"/>
          <w:b/>
          <w:bCs w:val="0"/>
          <w:kern w:val="2"/>
          <w:sz w:val="24"/>
          <w:szCs w:val="24"/>
          <w:lang w:val="en-US" w:eastAsia="zh-CN"/>
        </w:rPr>
        <w:t>（授权委托人必须提供本单位连续6个月为其缴纳社保的证明复印件及原件）</w:t>
      </w:r>
    </w:p>
    <w:p>
      <w:pPr>
        <w:keepNext w:val="0"/>
        <w:keepLines w:val="0"/>
        <w:widowControl w:val="0"/>
        <w:suppressLineNumbers w:val="0"/>
        <w:spacing w:before="0" w:beforeAutospacing="0" w:after="0" w:afterAutospacing="0" w:line="340" w:lineRule="exact"/>
        <w:ind w:left="0" w:right="0" w:firstLine="482" w:firstLineChars="200"/>
        <w:jc w:val="both"/>
        <w:rPr>
          <w:rFonts w:hint="eastAsia" w:ascii="宋体" w:hAnsi="宋体" w:eastAsia="宋体" w:cs="宋体"/>
          <w:b/>
          <w:bCs w:val="0"/>
          <w:sz w:val="24"/>
          <w:szCs w:val="28"/>
          <w:lang w:val="en-US"/>
        </w:rPr>
      </w:pPr>
      <w:r>
        <w:rPr>
          <w:rFonts w:hint="eastAsia" w:ascii="宋体" w:hAnsi="宋体" w:eastAsia="宋体" w:cs="宋体"/>
          <w:b/>
          <w:kern w:val="2"/>
          <w:sz w:val="24"/>
          <w:szCs w:val="24"/>
          <w:lang w:val="en-US" w:eastAsia="zh-CN"/>
        </w:rPr>
        <w:t>文件7：</w:t>
      </w:r>
      <w:r>
        <w:rPr>
          <w:rFonts w:hint="eastAsia" w:ascii="宋体" w:hAnsi="宋体" w:eastAsia="宋体" w:cs="宋体"/>
          <w:kern w:val="2"/>
          <w:sz w:val="24"/>
          <w:szCs w:val="24"/>
          <w:lang w:val="en-US" w:eastAsia="zh-CN"/>
        </w:rPr>
        <w:t>（投标人）</w:t>
      </w:r>
      <w:r>
        <w:rPr>
          <w:rFonts w:hint="eastAsia" w:ascii="宋体" w:hAnsi="宋体" w:eastAsia="宋体" w:cs="宋体"/>
          <w:bCs/>
          <w:kern w:val="2"/>
          <w:sz w:val="24"/>
          <w:szCs w:val="24"/>
          <w:lang w:val="en-US" w:eastAsia="zh-CN"/>
        </w:rPr>
        <w:t>关于资格的声明函</w:t>
      </w:r>
    </w:p>
    <w:p>
      <w:pPr>
        <w:keepNext w:val="0"/>
        <w:keepLines w:val="0"/>
        <w:widowControl w:val="0"/>
        <w:suppressLineNumbers w:val="0"/>
        <w:spacing w:before="0" w:beforeAutospacing="0" w:after="0" w:afterAutospacing="0" w:line="340" w:lineRule="exact"/>
        <w:ind w:left="0" w:right="0" w:firstLine="472" w:firstLineChars="196"/>
        <w:jc w:val="both"/>
        <w:rPr>
          <w:rFonts w:hint="eastAsia" w:ascii="宋体" w:hAnsi="宋体" w:eastAsia="宋体" w:cs="宋体"/>
          <w:bCs/>
          <w:sz w:val="24"/>
          <w:szCs w:val="24"/>
          <w:lang w:val="en-US"/>
        </w:rPr>
      </w:pPr>
      <w:r>
        <w:rPr>
          <w:rFonts w:hint="eastAsia" w:ascii="宋体" w:hAnsi="宋体" w:eastAsia="宋体" w:cs="宋体"/>
          <w:b/>
          <w:kern w:val="2"/>
          <w:sz w:val="24"/>
          <w:szCs w:val="24"/>
          <w:lang w:val="en-US" w:eastAsia="zh-CN"/>
        </w:rPr>
        <w:t>文件8：</w:t>
      </w:r>
      <w:r>
        <w:rPr>
          <w:rFonts w:hint="eastAsia" w:ascii="宋体" w:hAnsi="宋体" w:eastAsia="宋体" w:cs="宋体"/>
          <w:kern w:val="2"/>
          <w:sz w:val="24"/>
          <w:szCs w:val="28"/>
          <w:lang w:val="en-US" w:eastAsia="zh-CN"/>
        </w:rPr>
        <w:t>承诺书</w:t>
      </w:r>
    </w:p>
    <w:p>
      <w:pPr>
        <w:keepNext w:val="0"/>
        <w:keepLines w:val="0"/>
        <w:widowControl w:val="0"/>
        <w:suppressLineNumbers w:val="0"/>
        <w:tabs>
          <w:tab w:val="left" w:pos="1080"/>
        </w:tabs>
        <w:spacing w:before="0" w:beforeAutospacing="0" w:after="0" w:afterAutospacing="0" w:line="340" w:lineRule="exact"/>
        <w:ind w:left="0" w:right="0" w:firstLine="472" w:firstLineChars="196"/>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rPr>
        <w:t>文件9：</w:t>
      </w:r>
      <w:r>
        <w:rPr>
          <w:rFonts w:hint="eastAsia" w:ascii="宋体" w:hAnsi="宋体" w:eastAsia="宋体" w:cs="宋体"/>
          <w:kern w:val="2"/>
          <w:sz w:val="24"/>
          <w:szCs w:val="24"/>
          <w:lang w:val="en-US" w:eastAsia="zh-CN"/>
        </w:rPr>
        <w:t>医疗器械生产企业许可证或医疗器械经营企业许可证（有效期内）</w:t>
      </w:r>
      <w:r>
        <w:rPr>
          <w:rFonts w:hint="eastAsia" w:ascii="宋体" w:hAnsi="宋体" w:eastAsia="宋体" w:cs="宋体"/>
          <w:b/>
          <w:bCs w:val="0"/>
          <w:kern w:val="2"/>
          <w:sz w:val="24"/>
          <w:szCs w:val="24"/>
          <w:lang w:val="en-US" w:eastAsia="zh-CN"/>
        </w:rPr>
        <w:t>（原件或公证件备查）。</w:t>
      </w:r>
    </w:p>
    <w:p>
      <w:pPr>
        <w:keepNext w:val="0"/>
        <w:keepLines w:val="0"/>
        <w:widowControl w:val="0"/>
        <w:suppressLineNumbers w:val="0"/>
        <w:adjustRightInd w:val="0"/>
        <w:snapToGrid w:val="0"/>
        <w:spacing w:before="0" w:beforeAutospacing="0" w:after="0" w:afterAutospacing="0" w:line="340" w:lineRule="exact"/>
        <w:ind w:left="0" w:right="0" w:firstLine="472" w:firstLineChars="196"/>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rPr>
        <w:t>文件10：</w:t>
      </w:r>
      <w:r>
        <w:rPr>
          <w:rFonts w:hint="eastAsia" w:ascii="宋体" w:hAnsi="宋体" w:eastAsia="宋体" w:cs="宋体"/>
          <w:kern w:val="2"/>
          <w:sz w:val="24"/>
          <w:szCs w:val="24"/>
          <w:lang w:val="en-US" w:eastAsia="zh-CN"/>
        </w:rPr>
        <w:t>供应商若非投标产品原厂家的，须提供该产品原厂家（或驻中国办事机构）出具的有效的经销授权书</w:t>
      </w:r>
      <w:r>
        <w:rPr>
          <w:rFonts w:hint="eastAsia" w:ascii="宋体" w:hAnsi="宋体" w:eastAsia="宋体" w:cs="宋体"/>
          <w:b/>
          <w:bCs w:val="0"/>
          <w:kern w:val="2"/>
          <w:sz w:val="24"/>
          <w:szCs w:val="24"/>
          <w:lang w:val="en-US" w:eastAsia="zh-CN"/>
        </w:rPr>
        <w:t>（原件备查）</w:t>
      </w:r>
      <w:r>
        <w:rPr>
          <w:rFonts w:hint="eastAsia" w:ascii="宋体" w:hAnsi="宋体" w:eastAsia="宋体" w:cs="宋体"/>
          <w:bCs/>
          <w:kern w:val="2"/>
          <w:sz w:val="24"/>
          <w:szCs w:val="24"/>
          <w:lang w:val="en-US" w:eastAsia="zh-CN"/>
        </w:rPr>
        <w:t>。</w:t>
      </w:r>
    </w:p>
    <w:p>
      <w:pPr>
        <w:keepNext w:val="0"/>
        <w:keepLines w:val="0"/>
        <w:widowControl w:val="0"/>
        <w:suppressLineNumbers w:val="0"/>
        <w:spacing w:before="0" w:beforeAutospacing="0" w:after="0" w:afterAutospacing="0" w:line="340" w:lineRule="exact"/>
        <w:ind w:left="0" w:right="0" w:firstLine="472" w:firstLineChars="196"/>
        <w:jc w:val="both"/>
        <w:rPr>
          <w:rFonts w:hint="eastAsia" w:ascii="宋体" w:hAnsi="宋体" w:eastAsia="宋体" w:cs="宋体"/>
          <w:sz w:val="24"/>
          <w:szCs w:val="28"/>
          <w:lang w:val="en-US"/>
        </w:rPr>
      </w:pPr>
      <w:r>
        <w:rPr>
          <w:rFonts w:hint="eastAsia" w:ascii="宋体" w:hAnsi="宋体" w:eastAsia="宋体" w:cs="宋体"/>
          <w:b/>
          <w:kern w:val="2"/>
          <w:sz w:val="24"/>
          <w:szCs w:val="24"/>
          <w:lang w:val="en-US" w:eastAsia="zh-CN"/>
        </w:rPr>
        <w:t>文件11：</w:t>
      </w:r>
      <w:r>
        <w:rPr>
          <w:rFonts w:hint="eastAsia" w:ascii="宋体" w:hAnsi="宋体" w:eastAsia="宋体" w:cs="宋体"/>
          <w:kern w:val="2"/>
          <w:sz w:val="24"/>
          <w:szCs w:val="28"/>
          <w:lang w:val="en-US" w:eastAsia="zh-CN"/>
        </w:rPr>
        <w:t>所投设备医疗器械注册复印件（有效期内）；</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8"/>
          <w:lang w:val="en-US"/>
        </w:rPr>
      </w:pPr>
      <w:r>
        <w:rPr>
          <w:rFonts w:hint="eastAsia" w:ascii="宋体" w:hAnsi="宋体" w:eastAsia="宋体" w:cs="宋体"/>
          <w:kern w:val="2"/>
          <w:sz w:val="24"/>
          <w:szCs w:val="28"/>
          <w:lang w:val="en-US" w:eastAsia="zh-CN"/>
        </w:rPr>
        <w:t>（9）</w:t>
      </w:r>
      <w:r>
        <w:rPr>
          <w:rFonts w:hint="eastAsia" w:ascii="宋体" w:hAnsi="宋体" w:eastAsia="宋体" w:cs="宋体"/>
          <w:b/>
          <w:bCs w:val="0"/>
          <w:kern w:val="2"/>
          <w:sz w:val="24"/>
          <w:szCs w:val="24"/>
          <w:lang w:val="en-US" w:eastAsia="zh-CN"/>
        </w:rPr>
        <w:t>*</w:t>
      </w:r>
      <w:r>
        <w:rPr>
          <w:rFonts w:hint="eastAsia" w:ascii="宋体" w:hAnsi="宋体" w:eastAsia="宋体" w:cs="宋体"/>
          <w:kern w:val="2"/>
          <w:sz w:val="24"/>
          <w:szCs w:val="28"/>
          <w:lang w:val="en-US" w:eastAsia="zh-CN"/>
        </w:rPr>
        <w:t>所投设备的“产品介绍彩页”印刷品（复印件除外）。</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（10）同类项目成功案例证明材料（合同和验收报告等证明材料，复印件，原件备查）</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8"/>
          <w:lang w:val="en-US" w:eastAsia="zh-CN"/>
        </w:rPr>
        <w:t>（11）评分标准中对应的其它所需证明材料</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8"/>
          <w:lang w:val="en-US" w:eastAsia="zh-CN"/>
        </w:rPr>
        <w:t>（12）投标人认为需要提供的其他证明文件</w:t>
      </w:r>
    </w:p>
    <w:p>
      <w:pPr>
        <w:keepNext w:val="0"/>
        <w:keepLines w:val="0"/>
        <w:widowControl w:val="0"/>
        <w:suppressLineNumbers w:val="0"/>
        <w:spacing w:before="0" w:beforeAutospacing="0" w:after="0" w:afterAutospacing="0" w:line="340" w:lineRule="exact"/>
        <w:ind w:left="0" w:right="0" w:firstLine="482" w:firstLineChars="20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其中加“*”项目若有缺失或无效，将导致其投标被拒绝且不允许在开标后补正。</w:t>
      </w:r>
    </w:p>
    <w:p>
      <w:pPr>
        <w:keepNext w:val="0"/>
        <w:keepLines w:val="0"/>
        <w:widowControl w:val="0"/>
        <w:suppressLineNumbers w:val="0"/>
        <w:spacing w:before="0" w:beforeAutospacing="0" w:after="0" w:afterAutospacing="0" w:line="340" w:lineRule="exact"/>
        <w:ind w:left="0" w:right="0" w:firstLine="482" w:firstLineChars="20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原件或公证件备查的实质性条款项目携带备查。</w:t>
      </w:r>
    </w:p>
    <w:p>
      <w:pPr>
        <w:keepNext w:val="0"/>
        <w:keepLines w:val="0"/>
        <w:widowControl w:val="0"/>
        <w:suppressLineNumbers w:val="0"/>
        <w:spacing w:before="0" w:beforeAutospacing="0" w:after="0" w:afterAutospacing="0" w:line="340" w:lineRule="exact"/>
        <w:ind w:left="0" w:right="0"/>
        <w:jc w:val="both"/>
        <w:outlineLvl w:val="1"/>
        <w:rPr>
          <w:rFonts w:hint="eastAsia" w:ascii="黑体" w:hAnsi="宋体" w:eastAsia="黑体" w:cs="黑体"/>
          <w:bCs/>
          <w:sz w:val="28"/>
          <w:szCs w:val="28"/>
          <w:lang w:val="en-US"/>
        </w:rPr>
      </w:pPr>
      <w:r>
        <w:rPr>
          <w:rFonts w:hint="eastAsia" w:ascii="黑体" w:hAnsi="宋体" w:eastAsia="黑体" w:cs="黑体"/>
          <w:kern w:val="2"/>
          <w:sz w:val="28"/>
          <w:szCs w:val="28"/>
          <w:lang w:val="en-US" w:eastAsia="zh-CN"/>
        </w:rPr>
        <w:t>六、投标文件的制作：</w:t>
      </w:r>
    </w:p>
    <w:p>
      <w:pPr>
        <w:keepNext w:val="0"/>
        <w:keepLines w:val="0"/>
        <w:widowControl w:val="0"/>
        <w:suppressLineNumbers w:val="0"/>
        <w:tabs>
          <w:tab w:val="left" w:pos="0"/>
        </w:tabs>
        <w:spacing w:before="0" w:beforeAutospacing="0" w:after="0" w:afterAutospacing="0" w:line="340" w:lineRule="exact"/>
        <w:ind w:left="-2" w:leftChars="-1" w:right="0" w:firstLine="549" w:firstLineChars="229"/>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1、所有文件、往来函件均应使用简体中文（规格、型号辅助符号例外）。</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2、投标文件由投标单位按给定格式如实填写（编写），须有法人、法定代表人或法定代表人授权代表签字（盖章），方为有效，未尽事宜可自行补充。</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3、投标单位投标一律以人民币为投标结算货币,结算单位为“元”。</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4、投标文件格式部分，应由投标单位按给定格式提供，不得更改。</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5、投标文件应打印或用不褪色的黑色墨水书写。</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6、投标文件统一用A4纸，份数为正本一份，副本两份，须装订成册并加以密封，密封袋表面应注明项目名称、项目编号、投标单位名称和地址、</w:t>
      </w:r>
      <w:r>
        <w:rPr>
          <w:rFonts w:hint="eastAsia" w:ascii="宋体" w:hAnsi="宋体" w:eastAsia="宋体" w:cs="宋体"/>
          <w:b/>
          <w:bCs w:val="0"/>
          <w:kern w:val="2"/>
          <w:sz w:val="24"/>
          <w:szCs w:val="24"/>
          <w:lang w:val="en-US" w:eastAsia="zh-CN"/>
        </w:rPr>
        <w:t>“请勿在开标时间之前启封”</w:t>
      </w:r>
      <w:r>
        <w:rPr>
          <w:rFonts w:hint="eastAsia" w:ascii="宋体" w:hAnsi="宋体" w:eastAsia="宋体" w:cs="宋体"/>
          <w:kern w:val="2"/>
          <w:sz w:val="24"/>
          <w:szCs w:val="24"/>
          <w:lang w:val="en-US" w:eastAsia="zh-CN"/>
        </w:rPr>
        <w:t>的字样，并加盖投标人公章。如果投标单位未按上述要求进行密封和标记，采购中心对误投或过早启封概不负责。对由此造成提前开封的投标文件，采购单位将予以拒绝，并退回给投标人。</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7、投标书不应有涂改、增删和潦草之处，如有必须修改时，修改处必须有法人、法定代表人或法定代表人授权代表的签章。</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8、投标人在投标文件中应加盖与投标人全称相一致的标准公章，不得使用其他形式如带有“专用章”等字样的印章，否则视为无效投标；投标人法定代表人或授权代表的签字须为全名，否则视为无效投标。</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9、投标的有效期为开标后60天。</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10、投标费用自理。</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11、投标人所递交的全部投标文件均按保密文件处理，不予退还。</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七、无效投标文件的确认：</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（一）投标人存在下列情况之一的，其投标无效：</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1、投标文件未按招标文件要求签署、盖章的；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2、不具备招标文件中规定的资格要求的；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3、报价超过招标文件中规定的预算金额或者最高限价的；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4、投标文件含有采购人不能接受的附加条件的;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rPr>
        <w:t>5、投标文件未按规定的期限、地点送达的；</w:t>
      </w:r>
    </w:p>
    <w:p>
      <w:pPr>
        <w:keepNext w:val="0"/>
        <w:keepLines w:val="0"/>
        <w:widowControl w:val="0"/>
        <w:suppressLineNumbers w:val="0"/>
        <w:spacing w:before="0" w:beforeAutospacing="0" w:after="0" w:afterAutospacing="0" w:line="340" w:lineRule="exact"/>
        <w:ind w:left="0" w:right="0" w:firstLine="480" w:firstLineChars="20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rPr>
        <w:t>6、投标文件未按招标文件规定的格式、内容和要求填写的；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rPr>
        <w:t>7、投标文件书写潦草、字迹模糊不清、无法辨认的；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8、投标文件内容未实质性响应或不符合法律法规和招标文件中规定的其它实质性要求的；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rPr>
        <w:t>9、</w:t>
      </w:r>
      <w:r>
        <w:rPr>
          <w:rFonts w:hint="eastAsia" w:ascii="宋体" w:hAnsi="宋体" w:eastAsia="宋体" w:cs="宋体"/>
          <w:bCs/>
          <w:kern w:val="2"/>
          <w:sz w:val="24"/>
          <w:szCs w:val="24"/>
          <w:lang w:val="en-US" w:eastAsia="zh-CN"/>
        </w:rPr>
        <w:t>投标文件中同一方案有选择性报价且未声明以哪一个为准的；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rPr>
        <w:t>10、不响应招标文件中的付款方式的；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rPr>
        <w:t>11、投标时未携带法定代表人或法定代表人授权代表有效身份证明原件备查的。</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（二）投标人有下列情形之一的，视为串通投标，其投标无效，并按《政府采购法》第七十七条规定追究法律责任：</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1、供应商直接或间接从采购人或采购代理机构处获得其他供应商的投标情况，并修改其投标文件；</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2、评审活动开始前供应商直接或间接从采购人或采购代理机构处获得评标委员会组成人员情况；</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3、供应商接受采购人或采购代理机构授意撤换、修改投标文件；</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4、供应商之间协商投标报价、技术方案等投标文件实质性内容；</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5、属于同一集团、协会、商会等组织成员的供应商按照该组织要求协同投标；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6、供应商之间事先约定由某一特定供应商中标；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7、供应商之间商定部分供应商放弃投标或者放弃中标；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8、供应商与采购人或采购代理机构之间、供应商相互之间为谋求特定供应商中标成交或者排斥其他供应商的其他串通行为；</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9、不同投标人的投标文件由同一单位或者个人编制；</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10、不同投标人委托同一单位或者个人办理投标事宜；</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11、不同投标人的投标文件载明的项目管理成员为同一人；</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12、不同投标人的投标文件异常一致或者投标报价呈规律性差异；</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13、不同投标人的投标文件相互混装；</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八、开标、评标：</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（一）开标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w:t>
      </w:r>
      <w:r>
        <w:rPr>
          <w:rFonts w:hint="eastAsia" w:ascii="宋体" w:hAnsi="宋体" w:eastAsia="宋体" w:cs="宋体"/>
          <w:bCs/>
          <w:kern w:val="2"/>
          <w:sz w:val="24"/>
          <w:szCs w:val="24"/>
          <w:lang w:val="en-US" w:eastAsia="zh-CN"/>
        </w:rPr>
        <w:t>开标由江阴市第五人民医院主持，并请投标人代表查验投标文件的密封情况，经确认无误后，由江阴市第五人民医院工作人员当众拆封，宣读、记录各投标人《开标一览表》。</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2、开标过程由江阴市第五人民医院负责记录，并由参加开标的各投标人代表和相关工作人员签字确认。</w:t>
      </w:r>
    </w:p>
    <w:p>
      <w:pPr>
        <w:keepNext w:val="0"/>
        <w:keepLines w:val="0"/>
        <w:widowControl w:val="0"/>
        <w:suppressLineNumbers w:val="0"/>
        <w:spacing w:before="0" w:beforeAutospacing="0" w:after="0" w:afterAutospacing="0" w:line="340" w:lineRule="exact"/>
        <w:ind w:left="0" w:right="0" w:firstLine="480" w:firstLineChars="200"/>
        <w:jc w:val="both"/>
        <w:outlineLvl w:val="3"/>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3、投标人未参加开标的，视同认可开标结果。</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（二）评标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1、由采购方组成资格审查小组，对投标人的资格进行审查。</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2、采购评审方依法组建评标委员会，评审专家实行回避制度。</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3、资格性检查：依据法律法规和招标文件的规定，资格审查小组对投标文件中的资格证明文件进行审查，以确定投标供应商是否具备投标资格。</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资格审查小组将在“信用中国”网站（www.creditchina.gov.cn）对供应商是否被列入失信被执行人、重大税收违法案件当事人名单、政府采购严重失信行为记录名单情况进行查询，以确定供应商是否具备参加投标的资格。</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4、符合性检查：依据招标文件的规定，评标委员会从投标文件的有效性、完整性和对招标文件的响应程度进行审查，以确定是否对招标文件的实质性要求作出响应。</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（1）投标文件没有供应商法定代表人或授权代表签字和加盖公章</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（2）投标文件载明的采购项目的完成期限超过招标文件规定的期限</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（3）投标文件严重背离招标文件中确定的技术功能要求</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（4）投标文件附有采购人不能接受的商务条件</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（5）不符合招标文件中规定的其他实质性要求</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确定投标文件的响应性只根据投标文件本身的内容，而不寻求外部证据。</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如果投标文件没有实质上响应招标文件的要求，采购方将予以拒绝。投标人不得通过修正或撤消不合要求的偏离或保留从而使其投标成为实质上响应的投标。</w:t>
      </w:r>
    </w:p>
    <w:p>
      <w:pPr>
        <w:keepNext w:val="0"/>
        <w:keepLines w:val="0"/>
        <w:widowControl w:val="0"/>
        <w:suppressLineNumbers w:val="0"/>
        <w:tabs>
          <w:tab w:val="left" w:pos="0"/>
        </w:tabs>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6、投标文件的澄清：对于投标文件中含义不明确、同类问题表述不一致或者有明显文字和计算错误的内容，评标委员会应当以书面形式要求投标人作出必要的澄清、说明或者补正。</w:t>
      </w:r>
    </w:p>
    <w:p>
      <w:pPr>
        <w:keepNext w:val="0"/>
        <w:keepLines w:val="0"/>
        <w:widowControl w:val="0"/>
        <w:suppressLineNumbers w:val="0"/>
        <w:tabs>
          <w:tab w:val="left" w:pos="0"/>
        </w:tabs>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widowControl w:val="0"/>
        <w:suppressLineNumbers w:val="0"/>
        <w:tabs>
          <w:tab w:val="left" w:pos="0"/>
        </w:tabs>
        <w:spacing w:before="0" w:beforeAutospacing="0" w:after="0" w:afterAutospacing="0" w:line="340" w:lineRule="exact"/>
        <w:ind w:left="0" w:right="0" w:firstLine="544" w:firstLineChars="227"/>
        <w:jc w:val="both"/>
        <w:outlineLvl w:val="3"/>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7、投标文件报价出现前后不一致的，按照下列规定修正：</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（一）投标文件中开标一览表（报价表）内容与投标文件中相应内容不一致的，以开标一览表（报价表）为准；</w:t>
      </w:r>
    </w:p>
    <w:p>
      <w:pPr>
        <w:keepNext w:val="0"/>
        <w:keepLines w:val="0"/>
        <w:widowControl w:val="0"/>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（二）大写金额和小写金额不一致的，以大写金额为准；</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（三）单价金额小数点或者百分比有明显错位的，以开标一览表的总价为准，并修改单价；</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（四）总价金额与按单价汇总金额不一致的，以单价金额计算结果为准。</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同时出现两种以上不一致的，按照前款规定的顺序修正。修正后的报价按照《政府采购货物和服务招标投标管理办法》第五十一条第二款的规定经投标人确认后产生约束力，投标人不确认的，其投标无效。</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9、比较和评价：评标委员会应当按照招标文件中规定的评标方法和标准，对符合性审查合格的投标文件进行商务和技术评估，综合比较与评价。</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10、评标委员会发现招标文件存在歧义、重大缺陷导致评标工作无法进行，或者招标文件内容违反国家有关强制性规定的，应当停止评标工作，与项目负责人沟通并作书面记录。项目负责人确认后，应当修改招标文件，重新组织采购活动。</w:t>
      </w:r>
    </w:p>
    <w:p>
      <w:pPr>
        <w:keepNext w:val="0"/>
        <w:keepLines w:val="0"/>
        <w:widowControl w:val="0"/>
        <w:suppressLineNumbers w:val="0"/>
        <w:tabs>
          <w:tab w:val="left" w:pos="0"/>
        </w:tabs>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九、确定中标单位：</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评标委员会根据对投标单位资格审查情况、投标文件编写内容的完整性、合理性及报价、技术方案、服务承诺、业绩等评审主要因素进行评审，得分最高者为第一中标候选单位。采购方将评选结果通知所有参加评标的未中标单位，并宣布中标单位。如有质疑，按《中华人民共和国政府采购法》、《中华人民共和国政府采购法实施条例》、财政部《政府采购货物和服务招标投标管理办法》有关规定处理。</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2、确定中标单位2个工作日内发布中标公告，并向中标单位发出中标通知书。</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3、投标、评标及确定中标单位的整个过程均由相关部门进行现场监督。</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4、江阴市第五人民医院不负责向任何投标单位说明中标或不中标的原因。</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十、质疑处理：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1、供应商质疑按《中华人民共和国政府采购法》、《中华人民共和国政府采购法实施条例》、《政府采购货物和服务招标投标管理办法》、《江苏省政府采购供应商监督管理暂行办法》有关规定处理。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2、供应商认为采购文件、采购过程和中标结果使自己的权益受到损害的，可以在知道或者应知其权益受到损害之日起七个工作日内，以书面形式向采购人提出质疑。</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供应商对采购文件提出质疑的，应在采购公告期限届满之日起七个工作日内提出；供应商对采购过程提出质疑的，应在采购程序环节结束之日起七个工作日内提出；供应商对中标结果提出质疑的，应在中标结果公告期限届满之日起七个工作日内提出。</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3、供应商提出质疑，应当采取书面形式，在法定时间内以送达的方式提交质疑函。</w:t>
      </w:r>
    </w:p>
    <w:p>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质疑函应当包括下列内容：</w:t>
      </w:r>
    </w:p>
    <w:p>
      <w:pPr>
        <w:keepNext w:val="0"/>
        <w:keepLines w:val="0"/>
        <w:widowControl w:val="0"/>
        <w:suppressLineNumbers w:val="0"/>
        <w:snapToGrid w:val="0"/>
        <w:spacing w:before="0" w:beforeAutospacing="0" w:after="0" w:afterAutospacing="0" w:line="340" w:lineRule="exact"/>
        <w:ind w:left="0" w:right="0" w:firstLine="468" w:firstLineChars="19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（1）质疑供应商的名称、地址、邮编、联系人、联系电话；</w:t>
      </w:r>
    </w:p>
    <w:p>
      <w:pPr>
        <w:keepNext w:val="0"/>
        <w:keepLines w:val="0"/>
        <w:widowControl w:val="0"/>
        <w:suppressLineNumbers w:val="0"/>
        <w:snapToGrid w:val="0"/>
        <w:spacing w:before="0" w:beforeAutospacing="0" w:after="0" w:afterAutospacing="0" w:line="340" w:lineRule="exact"/>
        <w:ind w:left="0" w:right="0" w:firstLine="468" w:firstLineChars="19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（2）具体的质疑事项、事实根据及明确的请求；</w:t>
      </w:r>
    </w:p>
    <w:p>
      <w:pPr>
        <w:keepNext w:val="0"/>
        <w:keepLines w:val="0"/>
        <w:widowControl w:val="0"/>
        <w:suppressLineNumbers w:val="0"/>
        <w:snapToGrid w:val="0"/>
        <w:spacing w:before="0" w:beforeAutospacing="0" w:after="0" w:afterAutospacing="0" w:line="340" w:lineRule="exact"/>
        <w:ind w:left="0" w:right="0" w:firstLine="468" w:firstLineChars="19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（3）认为自己合法权益受到损害或可能受到损害的相关证据材料；</w:t>
      </w:r>
    </w:p>
    <w:p>
      <w:pPr>
        <w:keepNext w:val="0"/>
        <w:keepLines w:val="0"/>
        <w:widowControl w:val="0"/>
        <w:suppressLineNumbers w:val="0"/>
        <w:snapToGrid w:val="0"/>
        <w:spacing w:before="0" w:beforeAutospacing="0" w:after="0" w:afterAutospacing="0" w:line="340" w:lineRule="exact"/>
        <w:ind w:left="0" w:right="0" w:firstLine="468" w:firstLineChars="19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（4）提起质疑的日期；</w:t>
      </w:r>
    </w:p>
    <w:p>
      <w:pPr>
        <w:keepNext w:val="0"/>
        <w:keepLines w:val="0"/>
        <w:widowControl w:val="0"/>
        <w:suppressLineNumbers w:val="0"/>
        <w:snapToGrid w:val="0"/>
        <w:spacing w:before="0" w:beforeAutospacing="0" w:after="0" w:afterAutospacing="0" w:line="3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质疑函应当署名：质疑人为自然人的，应当由本人签字并附有效身份证明；质疑人为法人或其他组织的，应当由法定代表人签字并加盖单位公章。供应商委托代理质疑的，应当提交授权委托书，并载明委托代理的具体权限和事项。</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（6）质疑函格式请到江阴市第五人民医院（http://www.jysdwrmyy.com/）采购公告附件中下载《质疑书格式》；</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（7）未按上述要求提交的质疑函（仅限于原件）采购方有权不予受理。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4、供应商对采购文件提出质疑时，以非书面形式、属于对采购文件解释澄清范围、采购公告期限届满之日起七个工作日之外提交以及匿名的质疑将不予受理。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5、供应商对中标结果提出质疑时，以非书面形式、对招标文件、评标办法、评分细则及配分有异议、中标结果公告期限届满之日起七个工作日之外提交以及匿名的质疑将不予受理。未参加投标的供应商或在投标活动中本身权益未受到损害或从投标活动中受益的供应商所提出的质疑也不予受理。</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6、供应商提出质疑的应当有明确的请求和必要的证明材料，投标人提出书面质疑必须有理、有据，不得恶意质疑或提交虚假质疑。</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 xml:space="preserve">7、采购方将在收到供应商的有效书面质疑后七个工作日内作出答复，并以书面形式通知质疑供应商和其他有关供应商，但答复的内容不得涉及商业秘密。  </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十一、采购项目的废标：</w:t>
      </w:r>
    </w:p>
    <w:p>
      <w:pPr>
        <w:keepNext w:val="0"/>
        <w:keepLines w:val="0"/>
        <w:widowControl w:val="0"/>
        <w:suppressLineNumbers w:val="0"/>
        <w:spacing w:before="0" w:beforeAutospacing="0" w:after="0" w:afterAutospacing="0" w:line="340" w:lineRule="exact"/>
        <w:ind w:left="0" w:right="0" w:firstLine="410" w:firstLineChars="171"/>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 xml:space="preserve"> 在评标采购中，出现下列情况之一的，应予废标；</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1、符合专业条件的投标人或者对招标文件作出实质性响应的投标人不足三家的；</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2、出现影响采购公正的违法、违规行为的；</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3、投标单位的报价均超过采购预算，采购人不能支付的；</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4、因重大变故，采购任务取消的。</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rPr>
        <w:t>注：如投标人只有两家而临床需求急切，经评标委员会</w:t>
      </w:r>
      <w:r>
        <w:rPr>
          <w:rFonts w:hint="eastAsia" w:ascii="宋体" w:hAnsi="宋体" w:eastAsia="宋体" w:cs="宋体"/>
          <w:kern w:val="2"/>
          <w:sz w:val="24"/>
          <w:szCs w:val="24"/>
          <w:lang w:val="en-US" w:eastAsia="zh-CN"/>
        </w:rPr>
        <w:t>认证且出具了“供应商资格条件和项目指标等没有歧视性和倾向性”意见的，</w:t>
      </w:r>
      <w:r>
        <w:rPr>
          <w:rFonts w:hint="eastAsia" w:ascii="宋体" w:hAnsi="宋体" w:eastAsia="宋体" w:cs="宋体"/>
          <w:bCs/>
          <w:kern w:val="2"/>
          <w:sz w:val="24"/>
          <w:szCs w:val="24"/>
          <w:lang w:val="en-US" w:eastAsia="zh-CN"/>
        </w:rPr>
        <w:t>报院领导批准同意，可转为其他采购方式采购。</w:t>
      </w:r>
    </w:p>
    <w:p>
      <w:pPr>
        <w:keepNext w:val="0"/>
        <w:keepLines w:val="0"/>
        <w:widowControl/>
        <w:suppressLineNumbers w:val="0"/>
        <w:spacing w:before="0" w:beforeAutospacing="0" w:after="0" w:afterAutospacing="0" w:line="340" w:lineRule="exact"/>
        <w:ind w:left="0" w:right="0" w:firstLine="480" w:firstLineChars="200"/>
        <w:jc w:val="left"/>
        <w:rPr>
          <w:rFonts w:hint="eastAsia" w:ascii="楷体_GB2312" w:hAnsi="??" w:eastAsia="楷体_GB2312" w:cs="宋体"/>
          <w:kern w:val="0"/>
          <w:sz w:val="24"/>
          <w:szCs w:val="24"/>
          <w:lang w:val="en-US"/>
        </w:rPr>
      </w:pPr>
      <w:r>
        <w:rPr>
          <w:rFonts w:hint="eastAsia" w:ascii="宋体" w:hAnsi="宋体" w:eastAsia="宋体" w:cs="宋体"/>
          <w:bCs/>
          <w:kern w:val="2"/>
          <w:sz w:val="24"/>
          <w:szCs w:val="24"/>
          <w:lang w:val="en-US" w:eastAsia="zh-CN"/>
        </w:rPr>
        <w:t>竞争性谈判由谈判小组从质量和服务均能满足采购文件实质性响应要求的供应商中，确定最后报价最低的供应商为成交供应商。评委会（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谈判结束后，谈判小组应当要求所有参加谈判的供应商在规定时间内进行最后报价，最后报价是供应商响应文件的有效组成部分。</w:t>
      </w:r>
      <w:r>
        <w:rPr>
          <w:rFonts w:hint="eastAsia" w:ascii="楷体_GB2312" w:hAnsi="??" w:eastAsia="楷体_GB2312" w:cs="宋体"/>
          <w:kern w:val="0"/>
          <w:sz w:val="24"/>
          <w:szCs w:val="24"/>
          <w:lang w:val="en-US" w:eastAsia="zh-CN"/>
        </w:rPr>
        <w:t xml:space="preserve"> </w:t>
      </w:r>
    </w:p>
    <w:p>
      <w:pPr>
        <w:keepNext w:val="0"/>
        <w:keepLines w:val="0"/>
        <w:widowControl w:val="0"/>
        <w:suppressLineNumbers w:val="0"/>
        <w:spacing w:before="0" w:beforeAutospacing="0" w:after="0" w:afterAutospacing="0" w:line="340" w:lineRule="exact"/>
        <w:ind w:left="0" w:right="0"/>
        <w:jc w:val="both"/>
        <w:outlineLvl w:val="1"/>
        <w:rPr>
          <w:rFonts w:hint="eastAsia" w:ascii="楷体_GB2312" w:eastAsia="楷体_GB2312" w:cs="楷体_GB2312"/>
          <w:sz w:val="28"/>
          <w:szCs w:val="28"/>
          <w:lang w:val="en-US"/>
        </w:rPr>
      </w:pPr>
      <w:r>
        <w:rPr>
          <w:rFonts w:hint="eastAsia" w:ascii="黑体" w:hAnsi="Times New Roman" w:eastAsia="黑体" w:cs="黑体"/>
          <w:kern w:val="2"/>
          <w:sz w:val="28"/>
          <w:szCs w:val="28"/>
          <w:lang w:val="en-US" w:eastAsia="zh-CN"/>
        </w:rPr>
        <w:t>十二、中标无效的的确认：</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宋体" w:hAnsi="宋体" w:eastAsia="宋体" w:cs="宋体"/>
          <w:bCs/>
          <w:kern w:val="2"/>
          <w:sz w:val="24"/>
          <w:szCs w:val="24"/>
          <w:lang w:val="en-US" w:eastAsia="zh-CN"/>
        </w:rPr>
        <w:t>投标单位有下列情形之一的，列入不良行为记录名单，在一至三年内禁止参加采购活动，有违法所得的，并处没收违法所得，情节严重的，由工商行政管理机关吊销营业执照；构成犯罪的，依法追究刑事责任：</w:t>
      </w:r>
      <w:r>
        <w:rPr>
          <w:rFonts w:hint="eastAsia" w:ascii="宋体" w:hAnsi="宋体" w:eastAsia="宋体" w:cs="宋体"/>
          <w:bCs/>
          <w:kern w:val="2"/>
          <w:sz w:val="24"/>
          <w:szCs w:val="24"/>
          <w:lang w:val="en-US" w:eastAsia="zh-CN"/>
        </w:rPr>
        <w:br w:type="textWrapping"/>
      </w:r>
      <w:r>
        <w:rPr>
          <w:rFonts w:hint="eastAsia" w:ascii="宋体" w:hAnsi="宋体" w:eastAsia="宋体" w:cs="宋体"/>
          <w:bCs/>
          <w:kern w:val="2"/>
          <w:sz w:val="24"/>
          <w:szCs w:val="24"/>
          <w:lang w:val="en-US" w:eastAsia="zh-CN"/>
        </w:rPr>
        <w:t>　　（一）提供虚假材料谋取中标、成交的；</w:t>
      </w:r>
      <w:r>
        <w:rPr>
          <w:rFonts w:hint="eastAsia" w:ascii="宋体" w:hAnsi="宋体" w:eastAsia="宋体" w:cs="宋体"/>
          <w:bCs/>
          <w:kern w:val="2"/>
          <w:sz w:val="24"/>
          <w:szCs w:val="24"/>
          <w:lang w:val="en-US" w:eastAsia="zh-CN"/>
        </w:rPr>
        <w:br w:type="textWrapping"/>
      </w:r>
      <w:r>
        <w:rPr>
          <w:rFonts w:hint="eastAsia" w:ascii="宋体" w:hAnsi="宋体" w:eastAsia="宋体" w:cs="宋体"/>
          <w:bCs/>
          <w:kern w:val="2"/>
          <w:sz w:val="24"/>
          <w:szCs w:val="24"/>
          <w:lang w:val="en-US" w:eastAsia="zh-CN"/>
        </w:rPr>
        <w:t>　　（二）采取不正当手段诋毁、排挤其他供应商的；</w:t>
      </w:r>
      <w:r>
        <w:rPr>
          <w:rFonts w:hint="eastAsia" w:ascii="宋体" w:hAnsi="宋体" w:eastAsia="宋体" w:cs="宋体"/>
          <w:bCs/>
          <w:kern w:val="2"/>
          <w:sz w:val="24"/>
          <w:szCs w:val="24"/>
          <w:lang w:val="en-US" w:eastAsia="zh-CN"/>
        </w:rPr>
        <w:br w:type="textWrapping"/>
      </w:r>
      <w:r>
        <w:rPr>
          <w:rFonts w:hint="eastAsia" w:ascii="楷体_GB2312" w:hAnsi="宋体" w:eastAsia="楷体_GB2312" w:cs="楷体_GB2312"/>
          <w:bCs/>
          <w:kern w:val="2"/>
          <w:sz w:val="24"/>
          <w:szCs w:val="24"/>
          <w:lang w:val="en-US" w:eastAsia="zh-CN"/>
        </w:rPr>
        <w:t>　　（三）与采购人、其他供应商或者采购代理机构恶意串通的；</w:t>
      </w:r>
      <w:r>
        <w:rPr>
          <w:rFonts w:hint="eastAsia" w:ascii="楷体_GB2312" w:hAnsi="宋体" w:eastAsia="楷体_GB2312" w:cs="楷体_GB2312"/>
          <w:bCs/>
          <w:kern w:val="2"/>
          <w:sz w:val="24"/>
          <w:szCs w:val="24"/>
          <w:lang w:val="en-US" w:eastAsia="zh-CN"/>
        </w:rPr>
        <w:br w:type="textWrapping"/>
      </w:r>
      <w:r>
        <w:rPr>
          <w:rFonts w:hint="eastAsia" w:ascii="楷体_GB2312" w:hAnsi="宋体" w:eastAsia="楷体_GB2312" w:cs="楷体_GB2312"/>
          <w:bCs/>
          <w:kern w:val="2"/>
          <w:sz w:val="24"/>
          <w:szCs w:val="24"/>
          <w:lang w:val="en-US" w:eastAsia="zh-CN"/>
        </w:rPr>
        <w:t>　　（四）向采购人、采购代理机构行贿或者提供其他不正当利益的；</w:t>
      </w:r>
      <w:r>
        <w:rPr>
          <w:rFonts w:hint="eastAsia" w:ascii="楷体_GB2312" w:hAnsi="宋体" w:eastAsia="楷体_GB2312" w:cs="楷体_GB2312"/>
          <w:bCs/>
          <w:kern w:val="2"/>
          <w:sz w:val="24"/>
          <w:szCs w:val="24"/>
          <w:lang w:val="en-US" w:eastAsia="zh-CN"/>
        </w:rPr>
        <w:br w:type="textWrapping"/>
      </w:r>
      <w:r>
        <w:rPr>
          <w:rFonts w:hint="eastAsia" w:ascii="楷体_GB2312" w:hAnsi="宋体" w:eastAsia="楷体_GB2312" w:cs="楷体_GB2312"/>
          <w:bCs/>
          <w:kern w:val="2"/>
          <w:sz w:val="24"/>
          <w:szCs w:val="24"/>
          <w:lang w:val="en-US" w:eastAsia="zh-CN"/>
        </w:rPr>
        <w:t>　　（五）拒绝有关部门监督检查或者提供虚假情况的。</w:t>
      </w:r>
      <w:r>
        <w:rPr>
          <w:rFonts w:hint="eastAsia" w:ascii="楷体_GB2312" w:hAnsi="宋体" w:eastAsia="楷体_GB2312" w:cs="楷体_GB2312"/>
          <w:bCs/>
          <w:kern w:val="2"/>
          <w:sz w:val="24"/>
          <w:szCs w:val="24"/>
          <w:lang w:val="en-US" w:eastAsia="zh-CN"/>
        </w:rPr>
        <w:br w:type="textWrapping"/>
      </w:r>
      <w:r>
        <w:rPr>
          <w:rFonts w:hint="eastAsia" w:ascii="楷体_GB2312" w:hAnsi="宋体" w:eastAsia="楷体_GB2312" w:cs="楷体_GB2312"/>
          <w:bCs/>
          <w:kern w:val="2"/>
          <w:sz w:val="24"/>
          <w:szCs w:val="24"/>
          <w:lang w:val="en-US" w:eastAsia="zh-CN"/>
        </w:rPr>
        <w:t>　　投标单位有前款第（一）至（五）项情形之一的，中标无效。</w:t>
      </w:r>
    </w:p>
    <w:p>
      <w:pPr>
        <w:keepNext w:val="0"/>
        <w:keepLines w:val="0"/>
        <w:widowControl w:val="0"/>
        <w:suppressLineNumbers w:val="0"/>
        <w:spacing w:before="0" w:beforeAutospacing="0" w:after="0" w:afterAutospacing="0" w:line="340" w:lineRule="exact"/>
        <w:ind w:left="0" w:right="0"/>
        <w:jc w:val="both"/>
        <w:outlineLvl w:val="1"/>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十三、签订合同：</w:t>
      </w:r>
    </w:p>
    <w:p>
      <w:pPr>
        <w:keepNext w:val="0"/>
        <w:keepLines w:val="0"/>
        <w:widowControl w:val="0"/>
        <w:suppressLineNumbers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采购方应在三十日内，按照招标文件和中标人投标文件的约定，与中标人签订书面合同。</w:t>
      </w:r>
    </w:p>
    <w:p>
      <w:pPr>
        <w:keepNext w:val="0"/>
        <w:keepLines w:val="0"/>
        <w:widowControl w:val="0"/>
        <w:suppressLineNumbers w:val="0"/>
        <w:spacing w:before="0" w:beforeAutospacing="0" w:after="0" w:afterAutospacing="0" w:line="340" w:lineRule="exact"/>
        <w:ind w:left="0" w:right="0"/>
        <w:jc w:val="both"/>
        <w:outlineLvl w:val="1"/>
        <w:rPr>
          <w:rFonts w:hint="eastAsia" w:ascii="楷体_GB2312" w:hAnsi="宋体" w:eastAsia="楷体_GB2312" w:cs="楷体_GB2312"/>
          <w:sz w:val="28"/>
          <w:szCs w:val="28"/>
          <w:lang w:val="en-US"/>
        </w:rPr>
      </w:pPr>
      <w:r>
        <w:rPr>
          <w:rFonts w:hint="eastAsia" w:ascii="黑体" w:hAnsi="Times New Roman" w:eastAsia="黑体" w:cs="黑体"/>
          <w:kern w:val="2"/>
          <w:sz w:val="28"/>
          <w:szCs w:val="28"/>
          <w:lang w:val="en-US" w:eastAsia="zh-CN"/>
        </w:rPr>
        <w:t>十四、付款方式：</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全部设备到货后，由买方逐一清点无误，与合同规定相符；设备软、硬件安装完毕，系统工作稳定，无明显非人为故障，由买方组织验收，符合合同要求，正常运行满1个月后，采购方将在10个工作日内支付合同总价的90%。</w:t>
      </w:r>
    </w:p>
    <w:p>
      <w:pPr>
        <w:keepNext w:val="0"/>
        <w:keepLines w:val="0"/>
        <w:widowControl w:val="0"/>
        <w:suppressLineNumbers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Times New Roman" w:eastAsia="楷体_GB2312" w:cs="楷体_GB2312"/>
          <w:kern w:val="2"/>
          <w:sz w:val="24"/>
          <w:szCs w:val="24"/>
          <w:lang w:val="en-US" w:eastAsia="zh-CN"/>
        </w:rPr>
        <w:t>2、合同总价的10%为质保金，验收合格后满12个月，经甲方确认乙方提供的设备符合合同的质量要求，采购方将在10个工作日内支付该质保金。</w:t>
      </w:r>
    </w:p>
    <w:p>
      <w:pPr>
        <w:keepNext w:val="0"/>
        <w:keepLines w:val="0"/>
        <w:widowControl w:val="0"/>
        <w:suppressLineNumbers w:val="0"/>
        <w:autoSpaceDE w:val="0"/>
        <w:autoSpaceDN w:val="0"/>
        <w:adjustRightInd w:val="0"/>
        <w:spacing w:before="0" w:beforeAutospacing="0" w:after="0" w:afterAutospacing="0" w:line="340" w:lineRule="exact"/>
        <w:ind w:left="0" w:right="0"/>
        <w:jc w:val="both"/>
        <w:outlineLvl w:val="1"/>
        <w:rPr>
          <w:rFonts w:hint="eastAsia" w:ascii="黑体" w:hAnsi="宋体" w:eastAsia="黑体" w:cs="黑体"/>
          <w:sz w:val="28"/>
          <w:szCs w:val="28"/>
          <w:lang w:val="zh-CN" w:eastAsia="zh-CN"/>
        </w:rPr>
      </w:pPr>
      <w:r>
        <w:rPr>
          <w:rFonts w:hint="eastAsia" w:ascii="黑体" w:hAnsi="宋体" w:eastAsia="黑体" w:cs="黑体"/>
          <w:kern w:val="2"/>
          <w:sz w:val="28"/>
          <w:szCs w:val="28"/>
          <w:lang w:val="en-US" w:eastAsia="zh-CN"/>
        </w:rPr>
        <w:t>十五、</w:t>
      </w:r>
      <w:r>
        <w:rPr>
          <w:rFonts w:hint="eastAsia" w:ascii="黑体" w:hAnsi="宋体" w:eastAsia="黑体" w:cs="黑体"/>
          <w:kern w:val="2"/>
          <w:sz w:val="28"/>
          <w:szCs w:val="28"/>
          <w:lang w:val="zh-CN" w:eastAsia="zh-CN"/>
        </w:rPr>
        <w:t>政策功能：</w:t>
      </w:r>
    </w:p>
    <w:p>
      <w:pPr>
        <w:keepNext w:val="0"/>
        <w:keepLines w:val="0"/>
        <w:widowControl w:val="0"/>
        <w:suppressLineNumbers w:val="0"/>
        <w:spacing w:before="0" w:beforeAutospacing="0" w:after="0" w:afterAutospacing="0" w:line="340" w:lineRule="exact"/>
        <w:ind w:left="0" w:right="0" w:firstLine="470" w:firstLineChars="196"/>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zh-CN" w:eastAsia="zh-CN"/>
        </w:rPr>
        <w:t>1、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kern w:val="2"/>
          <w:sz w:val="24"/>
          <w:szCs w:val="24"/>
          <w:lang w:val="en-US" w:eastAsia="zh-CN"/>
        </w:rPr>
        <w:t>2</w:t>
      </w:r>
      <w:r>
        <w:rPr>
          <w:rFonts w:hint="eastAsia" w:ascii="楷体_GB2312" w:hAnsi="宋体" w:eastAsia="楷体_GB2312" w:cs="楷体_GB2312"/>
          <w:kern w:val="2"/>
          <w:sz w:val="24"/>
          <w:szCs w:val="24"/>
          <w:lang w:val="zh-CN" w:eastAsia="zh-CN"/>
        </w:rPr>
        <w:t>、</w:t>
      </w:r>
      <w:r>
        <w:rPr>
          <w:rFonts w:hint="eastAsia" w:ascii="楷体_GB2312" w:hAnsi="宋体" w:eastAsia="楷体_GB2312" w:cs="楷体_GB2312"/>
          <w:bCs/>
          <w:kern w:val="2"/>
          <w:sz w:val="24"/>
          <w:szCs w:val="24"/>
          <w:lang w:val="en-US" w:eastAsia="zh-CN"/>
        </w:rPr>
        <w:t>提供的产品属于信息安全产品的，供应商应当选择经国家认证的信息安全产品投标，并提供由中国信息安全认证中心按国家标准认证颁发的有效认证证书复印件。</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kern w:val="2"/>
          <w:sz w:val="24"/>
          <w:szCs w:val="24"/>
          <w:lang w:val="en-US" w:eastAsia="zh-CN"/>
        </w:rPr>
        <w:t>3</w:t>
      </w:r>
      <w:r>
        <w:rPr>
          <w:rFonts w:hint="eastAsia" w:ascii="楷体_GB2312" w:hAnsi="宋体" w:eastAsia="楷体_GB2312" w:cs="楷体_GB2312"/>
          <w:kern w:val="2"/>
          <w:sz w:val="24"/>
          <w:szCs w:val="24"/>
          <w:lang w:val="zh-CN" w:eastAsia="zh-CN"/>
        </w:rPr>
        <w:t>、</w:t>
      </w:r>
      <w:r>
        <w:rPr>
          <w:rFonts w:hint="eastAsia" w:ascii="楷体_GB2312" w:hAnsi="宋体" w:eastAsia="楷体_GB2312" w:cs="楷体_GB2312"/>
          <w:bCs/>
          <w:kern w:val="2"/>
          <w:sz w:val="24"/>
          <w:szCs w:val="24"/>
          <w:lang w:val="en-US" w:eastAsia="zh-CN"/>
        </w:rPr>
        <w:t>提供的产品属于政府强制采购节能产品的，供应商应当选择《节能产品政府采购清单》中的产品投标，并提供有效的节能产品认证证书复印件。</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zh-CN" w:eastAsia="zh-CN"/>
        </w:rPr>
      </w:pPr>
      <w:r>
        <w:rPr>
          <w:rFonts w:hint="eastAsia" w:ascii="楷体_GB2312" w:hAnsi="宋体" w:eastAsia="楷体_GB2312" w:cs="楷体_GB2312"/>
          <w:bCs/>
          <w:kern w:val="2"/>
          <w:sz w:val="24"/>
          <w:szCs w:val="24"/>
          <w:lang w:val="en-US" w:eastAsia="zh-CN"/>
        </w:rPr>
        <w:t>4、提供的产品属于环境标志产品的,供应商应当选择《环境标志产品政府采购清单》中的,且经过认证的环境标志产品投标,并提供有效的环境标志产品认证证书复印件</w:t>
      </w:r>
      <w:r>
        <w:rPr>
          <w:rFonts w:hint="eastAsia" w:ascii="楷体_GB2312" w:hAnsi="宋体" w:eastAsia="楷体_GB2312" w:cs="楷体_GB2312"/>
          <w:kern w:val="2"/>
          <w:sz w:val="24"/>
          <w:szCs w:val="24"/>
          <w:lang w:val="zh-CN" w:eastAsia="zh-CN"/>
        </w:rPr>
        <w:t>。</w:t>
      </w:r>
    </w:p>
    <w:p>
      <w:pPr>
        <w:keepNext w:val="0"/>
        <w:keepLines w:val="0"/>
        <w:widowControl w:val="0"/>
        <w:suppressLineNumbers w:val="0"/>
        <w:spacing w:before="0" w:beforeAutospacing="0" w:after="0" w:afterAutospacing="0" w:line="340" w:lineRule="exact"/>
        <w:ind w:left="0" w:right="0"/>
        <w:jc w:val="both"/>
        <w:outlineLvl w:val="1"/>
        <w:rPr>
          <w:rFonts w:hint="eastAsia" w:ascii="黑体" w:hAnsi="宋体" w:eastAsia="黑体" w:cs="Arial"/>
          <w:sz w:val="28"/>
          <w:szCs w:val="28"/>
          <w:lang w:val="en-US"/>
        </w:rPr>
      </w:pPr>
      <w:r>
        <w:rPr>
          <w:rFonts w:hint="eastAsia" w:ascii="黑体" w:hAnsi="Times New Roman" w:eastAsia="黑体" w:cs="黑体"/>
          <w:kern w:val="2"/>
          <w:sz w:val="28"/>
          <w:szCs w:val="28"/>
          <w:lang w:val="en-US" w:eastAsia="zh-CN"/>
        </w:rPr>
        <w:t>十六、</w:t>
      </w:r>
      <w:r>
        <w:rPr>
          <w:rFonts w:hint="eastAsia" w:ascii="黑体" w:hAnsi="宋体" w:eastAsia="黑体" w:cs="Arial"/>
          <w:kern w:val="2"/>
          <w:sz w:val="28"/>
          <w:szCs w:val="28"/>
          <w:lang w:val="en-US" w:eastAsia="zh-CN"/>
        </w:rPr>
        <w:t>质量及验收：</w:t>
      </w:r>
    </w:p>
    <w:p>
      <w:pPr>
        <w:keepNext w:val="0"/>
        <w:keepLines w:val="0"/>
        <w:widowControl w:val="0"/>
        <w:suppressLineNumbers w:val="0"/>
        <w:tabs>
          <w:tab w:val="left" w:pos="735"/>
          <w:tab w:val="left" w:pos="1050"/>
          <w:tab w:val="left" w:pos="1080"/>
        </w:tabs>
        <w:spacing w:before="0" w:beforeAutospacing="0" w:after="0" w:afterAutospacing="0" w:line="340" w:lineRule="exact"/>
        <w:ind w:left="0" w:right="0" w:firstLine="480" w:firstLineChars="200"/>
        <w:jc w:val="both"/>
        <w:rPr>
          <w:rFonts w:hint="eastAsia" w:ascii="楷体_GB2312" w:hAnsi="宋体" w:eastAsia="楷体_GB2312" w:cs="Arial"/>
          <w:sz w:val="24"/>
          <w:szCs w:val="24"/>
          <w:lang w:val="en-US"/>
        </w:rPr>
      </w:pPr>
      <w:r>
        <w:rPr>
          <w:rFonts w:hint="eastAsia" w:ascii="楷体_GB2312" w:hAnsi="宋体" w:eastAsia="楷体_GB2312" w:cs="Arial"/>
          <w:kern w:val="2"/>
          <w:sz w:val="24"/>
          <w:szCs w:val="24"/>
          <w:lang w:val="en-US" w:eastAsia="zh-CN"/>
        </w:rPr>
        <w:t>项目完毕后，中标方书面通知采购人验收，采购人依据为国家有关规定、招标文件、中标方的投标文件以及其他相关文件和资料，根据实际按照《江阴市政府采购验收管理暂行办法》情况组织验收，费用由中标方承担。</w:t>
      </w:r>
    </w:p>
    <w:p>
      <w:r>
        <w:br w:type="page"/>
      </w:r>
    </w:p>
    <w:p>
      <w:pPr>
        <w:pStyle w:val="2"/>
        <w:numPr>
          <w:ilvl w:val="0"/>
          <w:numId w:val="3"/>
        </w:numPr>
        <w:outlineLvl w:val="0"/>
        <w:rPr>
          <w:rFonts w:hint="eastAsia" w:ascii="黑体" w:hAnsi="楷体_GB2312" w:eastAsia="黑体" w:cs="黑体"/>
          <w:kern w:val="2"/>
          <w:sz w:val="30"/>
          <w:szCs w:val="30"/>
          <w:lang w:val="en-US" w:eastAsia="zh-CN"/>
        </w:rPr>
      </w:pPr>
      <w:r>
        <w:rPr>
          <w:rFonts w:hint="eastAsia" w:ascii="黑体" w:hAnsi="楷体_GB2312" w:eastAsia="黑体" w:cs="黑体"/>
          <w:kern w:val="2"/>
          <w:sz w:val="30"/>
          <w:szCs w:val="30"/>
          <w:lang w:val="en-US" w:eastAsia="zh-CN"/>
        </w:rPr>
        <w:t>项目要求和有关说明</w:t>
      </w:r>
    </w:p>
    <w:p>
      <w:pPr>
        <w:spacing w:line="360" w:lineRule="auto"/>
        <w:ind w:firstLine="480" w:firstLineChars="200"/>
        <w:rPr>
          <w:rFonts w:ascii="宋体" w:hAnsi="宋体"/>
          <w:bCs/>
          <w:iCs/>
          <w:sz w:val="24"/>
        </w:rPr>
      </w:pPr>
      <w:r>
        <w:rPr>
          <w:rFonts w:hint="eastAsia" w:ascii="宋体" w:hAnsi="宋体"/>
          <w:bCs/>
          <w:iCs/>
          <w:sz w:val="24"/>
        </w:rPr>
        <w:t>1.本次招标的项目：江阴市第五人民医院协同管理系统</w:t>
      </w:r>
    </w:p>
    <w:p>
      <w:pPr>
        <w:spacing w:line="360" w:lineRule="auto"/>
        <w:ind w:firstLine="480" w:firstLineChars="200"/>
        <w:rPr>
          <w:sz w:val="24"/>
        </w:rPr>
      </w:pPr>
      <w:r>
        <w:rPr>
          <w:rFonts w:hint="eastAsia" w:ascii="宋体"/>
          <w:sz w:val="24"/>
        </w:rPr>
        <w:t>2.</w:t>
      </w:r>
      <w:r>
        <w:rPr>
          <w:rFonts w:hint="eastAsia"/>
          <w:sz w:val="24"/>
        </w:rPr>
        <w:t>采购内容</w:t>
      </w:r>
    </w:p>
    <w:tbl>
      <w:tblPr>
        <w:tblStyle w:val="12"/>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225"/>
        <w:gridCol w:w="805"/>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shd w:val="clear" w:color="auto" w:fill="C0C0C0"/>
            <w:vAlign w:val="center"/>
          </w:tcPr>
          <w:p>
            <w:pPr>
              <w:spacing w:line="360" w:lineRule="auto"/>
              <w:jc w:val="center"/>
              <w:rPr>
                <w:rFonts w:ascii="楷体_GB2312" w:eastAsia="楷体_GB2312"/>
                <w:b/>
                <w:sz w:val="24"/>
              </w:rPr>
            </w:pPr>
            <w:r>
              <w:rPr>
                <w:rFonts w:hint="eastAsia" w:ascii="楷体_GB2312" w:eastAsia="楷体_GB2312"/>
                <w:b/>
                <w:sz w:val="24"/>
              </w:rPr>
              <w:t>序号</w:t>
            </w:r>
          </w:p>
        </w:tc>
        <w:tc>
          <w:tcPr>
            <w:tcW w:w="3225" w:type="dxa"/>
            <w:shd w:val="clear" w:color="auto" w:fill="C0C0C0"/>
            <w:vAlign w:val="center"/>
          </w:tcPr>
          <w:p>
            <w:pPr>
              <w:spacing w:line="360" w:lineRule="auto"/>
              <w:jc w:val="center"/>
              <w:rPr>
                <w:rFonts w:ascii="楷体_GB2312" w:eastAsia="楷体_GB2312"/>
                <w:b/>
                <w:sz w:val="24"/>
              </w:rPr>
            </w:pPr>
            <w:r>
              <w:rPr>
                <w:rFonts w:hint="eastAsia" w:ascii="楷体_GB2312" w:eastAsia="楷体_GB2312"/>
                <w:b/>
                <w:sz w:val="24"/>
              </w:rPr>
              <w:t>内容</w:t>
            </w:r>
          </w:p>
        </w:tc>
        <w:tc>
          <w:tcPr>
            <w:tcW w:w="805" w:type="dxa"/>
            <w:shd w:val="clear" w:color="auto" w:fill="C0C0C0"/>
            <w:vAlign w:val="center"/>
          </w:tcPr>
          <w:p>
            <w:pPr>
              <w:spacing w:line="360" w:lineRule="auto"/>
              <w:jc w:val="center"/>
              <w:rPr>
                <w:rFonts w:ascii="楷体_GB2312" w:eastAsia="楷体_GB2312"/>
                <w:b/>
                <w:sz w:val="24"/>
              </w:rPr>
            </w:pPr>
            <w:r>
              <w:rPr>
                <w:rFonts w:hint="eastAsia" w:ascii="楷体_GB2312" w:eastAsia="楷体_GB2312"/>
                <w:b/>
                <w:sz w:val="24"/>
              </w:rPr>
              <w:t>数量</w:t>
            </w:r>
          </w:p>
        </w:tc>
        <w:tc>
          <w:tcPr>
            <w:tcW w:w="2440" w:type="dxa"/>
            <w:shd w:val="clear" w:color="auto" w:fill="C0C0C0"/>
            <w:vAlign w:val="center"/>
          </w:tcPr>
          <w:p>
            <w:pPr>
              <w:spacing w:line="360" w:lineRule="auto"/>
              <w:jc w:val="center"/>
              <w:rPr>
                <w:rFonts w:ascii="楷体_GB2312" w:eastAsia="楷体_GB2312"/>
                <w:b/>
                <w:sz w:val="24"/>
              </w:rPr>
            </w:pPr>
            <w:r>
              <w:rPr>
                <w:rFonts w:hint="eastAsia" w:ascii="楷体_GB2312" w:eastAsia="楷体_GB2312"/>
                <w:b/>
                <w:sz w:val="24"/>
              </w:rPr>
              <w:t>预算金额（人民币/万元）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72" w:type="dxa"/>
            <w:vAlign w:val="center"/>
          </w:tcPr>
          <w:p>
            <w:pPr>
              <w:tabs>
                <w:tab w:val="left" w:pos="360"/>
              </w:tabs>
              <w:spacing w:line="360" w:lineRule="auto"/>
              <w:jc w:val="center"/>
              <w:rPr>
                <w:rFonts w:ascii="宋体" w:hAnsi="宋体" w:cs="宋体"/>
                <w:kern w:val="0"/>
                <w:sz w:val="24"/>
              </w:rPr>
            </w:pPr>
            <w:r>
              <w:rPr>
                <w:rFonts w:hint="eastAsia" w:ascii="宋体" w:hAnsi="宋体" w:cs="宋体"/>
                <w:kern w:val="0"/>
                <w:sz w:val="24"/>
              </w:rPr>
              <w:t>1</w:t>
            </w:r>
          </w:p>
        </w:tc>
        <w:tc>
          <w:tcPr>
            <w:tcW w:w="3225" w:type="dxa"/>
            <w:vAlign w:val="center"/>
          </w:tcPr>
          <w:p>
            <w:pPr>
              <w:tabs>
                <w:tab w:val="left" w:pos="360"/>
              </w:tabs>
              <w:spacing w:line="360" w:lineRule="auto"/>
              <w:jc w:val="center"/>
              <w:rPr>
                <w:rFonts w:ascii="宋体" w:hAnsi="宋体" w:cs="宋体"/>
                <w:kern w:val="0"/>
                <w:sz w:val="24"/>
              </w:rPr>
            </w:pPr>
            <w:r>
              <w:rPr>
                <w:rFonts w:hint="eastAsia" w:ascii="宋体" w:hAnsi="宋体"/>
                <w:bCs/>
                <w:iCs/>
                <w:sz w:val="24"/>
              </w:rPr>
              <w:t>江阴市第五人民医院协同管理系统项目</w:t>
            </w:r>
          </w:p>
        </w:tc>
        <w:tc>
          <w:tcPr>
            <w:tcW w:w="805" w:type="dxa"/>
            <w:vAlign w:val="center"/>
          </w:tcPr>
          <w:p>
            <w:pPr>
              <w:tabs>
                <w:tab w:val="left" w:pos="360"/>
              </w:tabs>
              <w:spacing w:line="360" w:lineRule="auto"/>
              <w:jc w:val="center"/>
              <w:rPr>
                <w:rFonts w:ascii="宋体" w:hAnsi="宋体" w:cs="宋体"/>
                <w:kern w:val="0"/>
                <w:sz w:val="24"/>
              </w:rPr>
            </w:pPr>
            <w:r>
              <w:rPr>
                <w:rFonts w:hint="eastAsia" w:ascii="宋体" w:hAnsi="宋体" w:cs="宋体"/>
                <w:kern w:val="0"/>
                <w:sz w:val="24"/>
              </w:rPr>
              <w:t>1项</w:t>
            </w:r>
          </w:p>
        </w:tc>
        <w:tc>
          <w:tcPr>
            <w:tcW w:w="2440" w:type="dxa"/>
            <w:vAlign w:val="center"/>
          </w:tcPr>
          <w:p>
            <w:pPr>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r>
    </w:tbl>
    <w:p>
      <w:pPr>
        <w:spacing w:line="360" w:lineRule="auto"/>
        <w:ind w:firstLine="420" w:firstLineChars="200"/>
      </w:pPr>
    </w:p>
    <w:p>
      <w:pPr>
        <w:pStyle w:val="4"/>
        <w:numPr>
          <w:ilvl w:val="0"/>
          <w:numId w:val="4"/>
        </w:numPr>
        <w:ind w:left="0" w:firstLine="0"/>
        <w:outlineLvl w:val="1"/>
      </w:pPr>
      <w:r>
        <w:rPr>
          <w:rFonts w:hint="eastAsia"/>
        </w:rPr>
        <w:t>合格的投标人</w:t>
      </w:r>
    </w:p>
    <w:p>
      <w:pPr>
        <w:pStyle w:val="19"/>
        <w:numPr>
          <w:ilvl w:val="0"/>
          <w:numId w:val="5"/>
        </w:numPr>
        <w:spacing w:line="360" w:lineRule="auto"/>
        <w:ind w:firstLineChars="0"/>
        <w:rPr>
          <w:sz w:val="24"/>
          <w:szCs w:val="24"/>
        </w:rPr>
      </w:pPr>
      <w:r>
        <w:rPr>
          <w:rFonts w:hint="eastAsia"/>
          <w:sz w:val="24"/>
          <w:szCs w:val="24"/>
        </w:rPr>
        <w:t>具有相应的经营资质，具有良好的商誉及完善的售后服务体系的生产、经营该设备（产品）的独立法人资格，在法律和财务方面独立，并与采购人无任何隶属关系；</w:t>
      </w:r>
    </w:p>
    <w:p>
      <w:pPr>
        <w:pStyle w:val="19"/>
        <w:numPr>
          <w:ilvl w:val="0"/>
          <w:numId w:val="5"/>
        </w:numPr>
        <w:spacing w:line="360" w:lineRule="auto"/>
        <w:ind w:firstLineChars="0"/>
        <w:rPr>
          <w:sz w:val="24"/>
          <w:szCs w:val="24"/>
        </w:rPr>
      </w:pPr>
      <w:r>
        <w:rPr>
          <w:rFonts w:hint="eastAsia"/>
          <w:sz w:val="24"/>
          <w:szCs w:val="24"/>
        </w:rPr>
        <w:t>具有良好的商业信誉和健全的财务会计制度；</w:t>
      </w:r>
    </w:p>
    <w:p>
      <w:pPr>
        <w:pStyle w:val="19"/>
        <w:numPr>
          <w:ilvl w:val="0"/>
          <w:numId w:val="5"/>
        </w:numPr>
        <w:spacing w:line="360" w:lineRule="auto"/>
        <w:ind w:firstLineChars="0"/>
        <w:rPr>
          <w:sz w:val="24"/>
          <w:szCs w:val="24"/>
        </w:rPr>
      </w:pPr>
      <w:r>
        <w:rPr>
          <w:rFonts w:hint="eastAsia"/>
          <w:sz w:val="24"/>
          <w:szCs w:val="24"/>
        </w:rPr>
        <w:t>近三年内,在经营活动中没有重大违法、违纪行为；</w:t>
      </w:r>
    </w:p>
    <w:p>
      <w:pPr>
        <w:pStyle w:val="19"/>
        <w:numPr>
          <w:ilvl w:val="0"/>
          <w:numId w:val="5"/>
        </w:numPr>
        <w:spacing w:line="360" w:lineRule="auto"/>
        <w:ind w:firstLineChars="0"/>
        <w:rPr>
          <w:sz w:val="24"/>
          <w:szCs w:val="24"/>
        </w:rPr>
      </w:pPr>
      <w:r>
        <w:rPr>
          <w:rFonts w:hint="eastAsia"/>
          <w:sz w:val="24"/>
          <w:szCs w:val="24"/>
        </w:rPr>
        <w:t>符合相关法律、法规规定的其他条件。</w:t>
      </w:r>
    </w:p>
    <w:p>
      <w:pPr>
        <w:pStyle w:val="4"/>
        <w:numPr>
          <w:ilvl w:val="0"/>
          <w:numId w:val="4"/>
        </w:numPr>
        <w:ind w:left="0" w:firstLine="0"/>
        <w:outlineLvl w:val="1"/>
      </w:pPr>
      <w:bookmarkStart w:id="22" w:name="_Toc262893310"/>
      <w:bookmarkStart w:id="23" w:name="_Toc450137302"/>
      <w:bookmarkStart w:id="24" w:name="_Toc178049979"/>
      <w:r>
        <w:rPr>
          <w:rFonts w:hint="eastAsia"/>
        </w:rPr>
        <w:t>基本要求</w:t>
      </w:r>
      <w:bookmarkEnd w:id="22"/>
      <w:bookmarkEnd w:id="23"/>
    </w:p>
    <w:p>
      <w:pPr>
        <w:pStyle w:val="19"/>
        <w:numPr>
          <w:ilvl w:val="0"/>
          <w:numId w:val="6"/>
        </w:numPr>
        <w:spacing w:line="360" w:lineRule="auto"/>
        <w:ind w:firstLineChars="0"/>
        <w:rPr>
          <w:sz w:val="24"/>
          <w:szCs w:val="24"/>
        </w:rPr>
      </w:pPr>
      <w:r>
        <w:rPr>
          <w:rFonts w:hint="eastAsia"/>
          <w:sz w:val="24"/>
          <w:szCs w:val="24"/>
        </w:rPr>
        <w:t>系统建设遵循先进性、实用性、安全性、开放性与标准化等原则，保证系统建设、维护、使用的低成本、可靠性、易用性和易于维护，并要求系统具有良好的扩展性，以保证医院在不断发展壮大形势下的管理需要。</w:t>
      </w:r>
    </w:p>
    <w:p>
      <w:pPr>
        <w:pStyle w:val="19"/>
        <w:numPr>
          <w:ilvl w:val="0"/>
          <w:numId w:val="6"/>
        </w:numPr>
        <w:spacing w:line="360" w:lineRule="auto"/>
        <w:ind w:firstLineChars="0"/>
        <w:rPr>
          <w:sz w:val="24"/>
          <w:szCs w:val="24"/>
        </w:rPr>
      </w:pPr>
      <w:r>
        <w:rPr>
          <w:rFonts w:hint="eastAsia"/>
          <w:sz w:val="24"/>
          <w:szCs w:val="24"/>
        </w:rPr>
        <w:t>在技术上，采用先进技术架构，支持主流的数据库。</w:t>
      </w:r>
    </w:p>
    <w:p>
      <w:pPr>
        <w:pStyle w:val="19"/>
        <w:numPr>
          <w:ilvl w:val="0"/>
          <w:numId w:val="6"/>
        </w:numPr>
        <w:spacing w:line="360" w:lineRule="auto"/>
        <w:ind w:firstLineChars="0"/>
        <w:rPr>
          <w:sz w:val="24"/>
          <w:szCs w:val="24"/>
        </w:rPr>
      </w:pPr>
      <w:r>
        <w:rPr>
          <w:rFonts w:hint="eastAsia"/>
          <w:sz w:val="24"/>
          <w:szCs w:val="24"/>
        </w:rPr>
        <w:t>灵活性与扩充性：选用符合国际发展潮流的国际标准的软件，使系统具有良好的可移植性、可扩展性，保证在将来发展中迅速采用最新出现的技术，降低系统成本。</w:t>
      </w:r>
    </w:p>
    <w:p>
      <w:pPr>
        <w:pStyle w:val="19"/>
        <w:numPr>
          <w:ilvl w:val="0"/>
          <w:numId w:val="6"/>
        </w:numPr>
        <w:spacing w:line="360" w:lineRule="auto"/>
        <w:ind w:firstLineChars="0"/>
        <w:rPr>
          <w:sz w:val="24"/>
          <w:szCs w:val="24"/>
        </w:rPr>
      </w:pPr>
      <w:r>
        <w:rPr>
          <w:rFonts w:hint="eastAsia"/>
          <w:sz w:val="24"/>
          <w:szCs w:val="24"/>
        </w:rPr>
        <w:t>建立高效的信息即时沟通平台和信息交流与共享机制，采集和积累各类信息资源并实现共享，加强内部协作和信息交流快捷畅通，从而降低管理成本，并为领导督办、辅助决策提供最大限度支持。</w:t>
      </w:r>
    </w:p>
    <w:p>
      <w:pPr>
        <w:pStyle w:val="19"/>
        <w:numPr>
          <w:ilvl w:val="0"/>
          <w:numId w:val="6"/>
        </w:numPr>
        <w:spacing w:line="360" w:lineRule="auto"/>
        <w:ind w:firstLineChars="0"/>
        <w:rPr>
          <w:sz w:val="24"/>
          <w:szCs w:val="24"/>
        </w:rPr>
      </w:pPr>
      <w:r>
        <w:rPr>
          <w:rFonts w:hint="eastAsia"/>
          <w:sz w:val="24"/>
          <w:szCs w:val="24"/>
        </w:rPr>
        <w:t>协同管理系统采用</w:t>
      </w:r>
      <w:r>
        <w:rPr>
          <w:sz w:val="24"/>
          <w:szCs w:val="24"/>
        </w:rPr>
        <w:t>B/S</w:t>
      </w:r>
      <w:r>
        <w:rPr>
          <w:rFonts w:hint="eastAsia"/>
          <w:sz w:val="24"/>
          <w:szCs w:val="24"/>
        </w:rPr>
        <w:t>方式处理数据，并能够在医院工作环境下稳定运行。</w:t>
      </w:r>
    </w:p>
    <w:p>
      <w:pPr>
        <w:pStyle w:val="19"/>
        <w:numPr>
          <w:ilvl w:val="0"/>
          <w:numId w:val="6"/>
        </w:numPr>
        <w:spacing w:line="360" w:lineRule="auto"/>
        <w:ind w:firstLineChars="0"/>
        <w:rPr>
          <w:sz w:val="24"/>
          <w:szCs w:val="24"/>
        </w:rPr>
      </w:pPr>
      <w:r>
        <w:rPr>
          <w:rFonts w:hint="eastAsia"/>
          <w:sz w:val="24"/>
          <w:szCs w:val="24"/>
        </w:rPr>
        <w:t>协同管理系统能提供外接接口功能，方便医院日后对接HIS、HRP等系统实现无缝对接功能。</w:t>
      </w:r>
    </w:p>
    <w:p>
      <w:pPr>
        <w:pStyle w:val="19"/>
        <w:numPr>
          <w:ilvl w:val="0"/>
          <w:numId w:val="6"/>
        </w:numPr>
        <w:spacing w:line="360" w:lineRule="auto"/>
        <w:ind w:firstLineChars="0"/>
        <w:rPr>
          <w:sz w:val="24"/>
          <w:szCs w:val="24"/>
        </w:rPr>
      </w:pPr>
      <w:r>
        <w:rPr>
          <w:rFonts w:hint="eastAsia"/>
          <w:sz w:val="24"/>
          <w:szCs w:val="24"/>
        </w:rPr>
        <w:t>系统应能对所有的操作进行追踪调查、记录并进行分类，具有日志记录和日志审理功能。</w:t>
      </w:r>
    </w:p>
    <w:p>
      <w:pPr>
        <w:pStyle w:val="19"/>
        <w:numPr>
          <w:ilvl w:val="0"/>
          <w:numId w:val="6"/>
        </w:numPr>
        <w:spacing w:line="360" w:lineRule="auto"/>
        <w:ind w:left="480" w:firstLine="0" w:firstLineChars="0"/>
        <w:rPr>
          <w:sz w:val="24"/>
          <w:szCs w:val="24"/>
        </w:rPr>
      </w:pPr>
      <w:r>
        <w:rPr>
          <w:rFonts w:hint="eastAsia"/>
        </w:rPr>
        <w:t>▲</w:t>
      </w:r>
      <w:r>
        <w:rPr>
          <w:rFonts w:hint="eastAsia"/>
          <w:sz w:val="24"/>
          <w:szCs w:val="24"/>
        </w:rPr>
        <w:t>基于先进</w:t>
      </w:r>
      <w:r>
        <w:rPr>
          <w:sz w:val="24"/>
          <w:szCs w:val="24"/>
        </w:rPr>
        <w:t>主流</w:t>
      </w:r>
      <w:r>
        <w:rPr>
          <w:rFonts w:hint="eastAsia"/>
          <w:sz w:val="24"/>
          <w:szCs w:val="24"/>
        </w:rPr>
        <w:t>技术开发，支持Safari、Chrome、火狐、</w:t>
      </w:r>
      <w:r>
        <w:rPr>
          <w:sz w:val="24"/>
          <w:szCs w:val="24"/>
        </w:rPr>
        <w:t>IE</w:t>
      </w:r>
      <w:r>
        <w:rPr>
          <w:rFonts w:hint="eastAsia"/>
          <w:sz w:val="24"/>
          <w:szCs w:val="24"/>
        </w:rPr>
        <w:t>等多种主流浏览器。</w:t>
      </w:r>
    </w:p>
    <w:p>
      <w:pPr>
        <w:pStyle w:val="19"/>
        <w:spacing w:line="360" w:lineRule="auto"/>
        <w:ind w:firstLine="0" w:firstLineChars="0"/>
        <w:rPr>
          <w:sz w:val="24"/>
          <w:szCs w:val="24"/>
        </w:rPr>
      </w:pPr>
    </w:p>
    <w:p>
      <w:pPr>
        <w:pStyle w:val="4"/>
        <w:numPr>
          <w:ilvl w:val="0"/>
          <w:numId w:val="4"/>
        </w:numPr>
        <w:ind w:left="0" w:firstLine="0"/>
        <w:outlineLvl w:val="1"/>
      </w:pPr>
      <w:bookmarkStart w:id="25" w:name="_Toc450137303"/>
      <w:bookmarkStart w:id="26" w:name="_Toc262893311"/>
      <w:r>
        <w:rPr>
          <w:rFonts w:hint="eastAsia"/>
        </w:rPr>
        <w:t>软件许可要求</w:t>
      </w:r>
    </w:p>
    <w:p>
      <w:pPr>
        <w:spacing w:line="360" w:lineRule="auto"/>
        <w:ind w:firstLine="480" w:firstLineChars="200"/>
        <w:rPr>
          <w:rFonts w:ascii="宋体" w:hAnsi="宋体"/>
          <w:bCs/>
          <w:iCs/>
          <w:sz w:val="24"/>
        </w:rPr>
      </w:pPr>
      <w:r>
        <w:rPr>
          <w:rFonts w:hint="eastAsia" w:ascii="宋体" w:hAnsi="宋体" w:cs="宋体"/>
          <w:sz w:val="24"/>
        </w:rPr>
        <w:t>协同管理系统技术架构能支持医院多用户同时在线使用，其中桌面端能满足全院多用户同时在线使用，系统不限制注册用户数。移动端能完全满足全院使用。（需提供厂商承诺函，格式自拟）</w:t>
      </w:r>
    </w:p>
    <w:p>
      <w:pPr>
        <w:widowControl/>
        <w:jc w:val="left"/>
        <w:rPr>
          <w:rFonts w:ascii="宋体" w:hAnsi="宋体"/>
          <w:bCs/>
          <w:iCs/>
          <w:sz w:val="24"/>
        </w:rPr>
      </w:pPr>
      <w:r>
        <w:rPr>
          <w:rFonts w:ascii="宋体" w:hAnsi="宋体"/>
          <w:bCs/>
          <w:iCs/>
          <w:sz w:val="24"/>
        </w:rPr>
        <w:br w:type="page"/>
      </w:r>
    </w:p>
    <w:p>
      <w:pPr>
        <w:pStyle w:val="4"/>
        <w:numPr>
          <w:ilvl w:val="0"/>
          <w:numId w:val="4"/>
        </w:numPr>
        <w:ind w:left="0" w:firstLine="0"/>
        <w:outlineLvl w:val="1"/>
      </w:pPr>
      <w:r>
        <w:rPr>
          <w:rFonts w:hint="eastAsia"/>
        </w:rPr>
        <w:t>功能</w:t>
      </w:r>
      <w:bookmarkEnd w:id="25"/>
      <w:bookmarkEnd w:id="26"/>
      <w:r>
        <w:rPr>
          <w:rFonts w:hint="eastAsia"/>
        </w:rPr>
        <w:t>性需求</w:t>
      </w:r>
    </w:p>
    <w:p>
      <w:pPr>
        <w:pStyle w:val="5"/>
        <w:numPr>
          <w:ilvl w:val="0"/>
          <w:numId w:val="7"/>
        </w:numPr>
        <w:outlineLvl w:val="2"/>
      </w:pPr>
      <w:bookmarkStart w:id="27" w:name="_Toc450137347"/>
      <w:r>
        <w:rPr>
          <w:rFonts w:hint="eastAsia"/>
        </w:rPr>
        <w:t>PC端需求</w:t>
      </w:r>
    </w:p>
    <w:p>
      <w:pPr>
        <w:pStyle w:val="6"/>
        <w:outlineLvl w:val="3"/>
        <w:rPr>
          <w:sz w:val="24"/>
          <w:szCs w:val="24"/>
        </w:rPr>
      </w:pPr>
      <w:r>
        <w:rPr>
          <w:sz w:val="24"/>
        </w:rPr>
        <w:t>门户管理</w:t>
      </w:r>
    </w:p>
    <w:p>
      <w:pPr>
        <w:spacing w:line="360" w:lineRule="auto"/>
        <w:ind w:firstLine="480" w:firstLineChars="200"/>
        <w:rPr>
          <w:rFonts w:ascii="宋体" w:hAnsi="宋体"/>
          <w:bCs/>
          <w:iCs/>
          <w:sz w:val="24"/>
        </w:rPr>
      </w:pPr>
      <w:r>
        <w:rPr>
          <w:rFonts w:hint="eastAsia" w:ascii="宋体" w:hAnsi="宋体"/>
          <w:bCs/>
          <w:iCs/>
          <w:sz w:val="24"/>
        </w:rPr>
        <w:t>建立医院内部信息门户管理，实现医院、科室、项目、应用的信息发布、通知公告、医院形象、规章制度、党办工作宣传等功能。</w:t>
      </w:r>
    </w:p>
    <w:p>
      <w:pPr>
        <w:pStyle w:val="20"/>
        <w:widowControl/>
        <w:numPr>
          <w:ilvl w:val="0"/>
          <w:numId w:val="8"/>
        </w:numPr>
        <w:ind w:firstLineChars="0"/>
        <w:contextualSpacing/>
        <w:jc w:val="left"/>
        <w:rPr>
          <w:rFonts w:ascii="宋体" w:hAnsi="宋体"/>
        </w:rPr>
      </w:pPr>
      <w:r>
        <w:rPr>
          <w:rFonts w:hint="eastAsia" w:ascii="宋体" w:hAnsi="宋体"/>
        </w:rPr>
        <w:t>提供个性化门户首页，并可按照用户实际应用需求定义多个门户，对每一个门户的模块内容和样式、布局可以进行自定义设置；</w:t>
      </w:r>
    </w:p>
    <w:p>
      <w:pPr>
        <w:pStyle w:val="20"/>
        <w:widowControl/>
        <w:numPr>
          <w:ilvl w:val="0"/>
          <w:numId w:val="8"/>
        </w:numPr>
        <w:ind w:firstLineChars="0"/>
        <w:contextualSpacing/>
        <w:jc w:val="left"/>
        <w:rPr>
          <w:rFonts w:ascii="宋体" w:hAnsi="宋体"/>
        </w:rPr>
      </w:pPr>
      <w:r>
        <w:rPr>
          <w:rFonts w:hint="eastAsia" w:ascii="宋体" w:hAnsi="宋体"/>
        </w:rPr>
        <w:t>可按角色定义门户类型，如医院门户、科室门户和个人门户等。每个门户都可设定管理员，并在其管辖范围内设定各用户对该门户的使用权限；</w:t>
      </w:r>
    </w:p>
    <w:p>
      <w:pPr>
        <w:pStyle w:val="20"/>
        <w:widowControl/>
        <w:numPr>
          <w:ilvl w:val="0"/>
          <w:numId w:val="8"/>
        </w:numPr>
        <w:ind w:firstLineChars="0"/>
        <w:contextualSpacing/>
        <w:jc w:val="left"/>
        <w:rPr>
          <w:rFonts w:ascii="宋体" w:hAnsi="宋体"/>
        </w:rPr>
      </w:pPr>
      <w:r>
        <w:rPr>
          <w:rFonts w:hint="eastAsia" w:ascii="宋体" w:hAnsi="宋体"/>
        </w:rPr>
        <w:t>用户可在门户上自定义展示系统内部各业务模块产生的数据和信息，比如流程、表单、会议记录、邮件提醒等。</w:t>
      </w:r>
    </w:p>
    <w:p>
      <w:pPr>
        <w:pStyle w:val="6"/>
        <w:rPr>
          <w:sz w:val="24"/>
        </w:rPr>
      </w:pPr>
      <w:r>
        <w:rPr>
          <w:sz w:val="24"/>
        </w:rPr>
        <w:t>公文管理</w:t>
      </w:r>
    </w:p>
    <w:p>
      <w:pPr>
        <w:spacing w:line="360" w:lineRule="auto"/>
        <w:ind w:firstLine="480" w:firstLineChars="200"/>
        <w:rPr>
          <w:rFonts w:ascii="宋体" w:hAnsi="宋体"/>
          <w:bCs/>
          <w:iCs/>
          <w:sz w:val="24"/>
        </w:rPr>
      </w:pPr>
      <w:r>
        <w:rPr>
          <w:rFonts w:hint="eastAsia" w:ascii="宋体" w:hAnsi="宋体"/>
          <w:bCs/>
          <w:iCs/>
          <w:sz w:val="24"/>
        </w:rPr>
        <w:t>实现收文管理、发文管理、公文查询。</w:t>
      </w:r>
    </w:p>
    <w:p>
      <w:pPr>
        <w:spacing w:line="360" w:lineRule="auto"/>
        <w:ind w:firstLine="480" w:firstLineChars="200"/>
        <w:rPr>
          <w:rFonts w:ascii="宋体" w:hAnsi="宋体"/>
          <w:bCs/>
          <w:iCs/>
          <w:sz w:val="24"/>
        </w:rPr>
      </w:pPr>
      <w:r>
        <w:rPr>
          <w:rFonts w:hint="eastAsia" w:ascii="宋体" w:hAnsi="宋体"/>
          <w:bCs/>
          <w:iCs/>
          <w:sz w:val="24"/>
        </w:rPr>
        <w:t>参照国家公文格式规范和公文管理要求进行设计，实现文件的流转、审批、催办，可</w:t>
      </w:r>
      <w:r>
        <w:rPr>
          <w:rFonts w:ascii="宋体" w:hAnsi="宋体"/>
          <w:bCs/>
          <w:iCs/>
          <w:sz w:val="24"/>
        </w:rPr>
        <w:t>以</w:t>
      </w:r>
      <w:r>
        <w:rPr>
          <w:rFonts w:hint="eastAsia" w:ascii="宋体" w:hAnsi="宋体"/>
          <w:bCs/>
          <w:iCs/>
          <w:sz w:val="24"/>
        </w:rPr>
        <w:t>对文件处理情况实时监控。</w:t>
      </w:r>
    </w:p>
    <w:p>
      <w:pPr>
        <w:pStyle w:val="20"/>
        <w:widowControl/>
        <w:ind w:firstLine="0" w:firstLineChars="0"/>
        <w:contextualSpacing/>
        <w:jc w:val="left"/>
        <w:rPr>
          <w:rFonts w:ascii="宋体" w:hAnsi="宋体"/>
          <w:b/>
        </w:rPr>
      </w:pPr>
      <w:r>
        <w:rPr>
          <w:rFonts w:hint="eastAsia" w:ascii="宋体" w:hAnsi="宋体"/>
          <w:b/>
        </w:rPr>
        <w:t>发</w:t>
      </w:r>
      <w:r>
        <w:rPr>
          <w:rFonts w:ascii="宋体" w:hAnsi="宋体"/>
          <w:b/>
        </w:rPr>
        <w:t>文管理：</w:t>
      </w:r>
    </w:p>
    <w:p>
      <w:pPr>
        <w:pStyle w:val="20"/>
        <w:widowControl/>
        <w:numPr>
          <w:ilvl w:val="0"/>
          <w:numId w:val="9"/>
        </w:numPr>
        <w:ind w:firstLineChars="0"/>
        <w:contextualSpacing/>
        <w:jc w:val="left"/>
        <w:rPr>
          <w:rFonts w:ascii="宋体" w:hAnsi="宋体"/>
        </w:rPr>
      </w:pPr>
      <w:r>
        <w:rPr>
          <w:rFonts w:hint="eastAsia" w:ascii="宋体" w:hAnsi="宋体"/>
        </w:rPr>
        <w:t>实</w:t>
      </w:r>
      <w:r>
        <w:rPr>
          <w:rFonts w:ascii="宋体" w:hAnsi="宋体"/>
        </w:rPr>
        <w:t>现拟稿、核稿、</w:t>
      </w:r>
      <w:r>
        <w:rPr>
          <w:rFonts w:hint="eastAsia" w:ascii="宋体" w:hAnsi="宋体"/>
        </w:rPr>
        <w:t>套</w:t>
      </w:r>
      <w:r>
        <w:rPr>
          <w:rFonts w:ascii="宋体" w:hAnsi="宋体"/>
        </w:rPr>
        <w:t>红、签发等</w:t>
      </w:r>
      <w:r>
        <w:rPr>
          <w:rFonts w:hint="eastAsia" w:ascii="宋体" w:hAnsi="宋体"/>
        </w:rPr>
        <w:t>发</w:t>
      </w:r>
      <w:r>
        <w:rPr>
          <w:rFonts w:ascii="宋体" w:hAnsi="宋体"/>
        </w:rPr>
        <w:t>文的全过程管理。提供强大的流程自定义功能，可以根据医</w:t>
      </w:r>
      <w:r>
        <w:rPr>
          <w:rFonts w:hint="eastAsia" w:ascii="宋体" w:hAnsi="宋体"/>
        </w:rPr>
        <w:t>院</w:t>
      </w:r>
      <w:r>
        <w:rPr>
          <w:rFonts w:ascii="宋体" w:hAnsi="宋体"/>
        </w:rPr>
        <w:t>实际情况，</w:t>
      </w:r>
      <w:r>
        <w:rPr>
          <w:rFonts w:hint="eastAsia" w:ascii="宋体" w:hAnsi="宋体"/>
        </w:rPr>
        <w:t>灵</w:t>
      </w:r>
      <w:r>
        <w:rPr>
          <w:rFonts w:ascii="宋体" w:hAnsi="宋体"/>
        </w:rPr>
        <w:t>活</w:t>
      </w:r>
      <w:r>
        <w:rPr>
          <w:rFonts w:hint="eastAsia" w:ascii="宋体" w:hAnsi="宋体"/>
        </w:rPr>
        <w:t>定</w:t>
      </w:r>
      <w:r>
        <w:rPr>
          <w:rFonts w:ascii="宋体" w:hAnsi="宋体"/>
        </w:rPr>
        <w:t>义</w:t>
      </w:r>
      <w:r>
        <w:rPr>
          <w:rFonts w:hint="eastAsia" w:ascii="宋体" w:hAnsi="宋体"/>
        </w:rPr>
        <w:t>多</w:t>
      </w:r>
      <w:r>
        <w:rPr>
          <w:rFonts w:ascii="宋体" w:hAnsi="宋体"/>
        </w:rPr>
        <w:t>种类型的发文</w:t>
      </w:r>
      <w:r>
        <w:rPr>
          <w:rFonts w:hint="eastAsia" w:ascii="宋体" w:hAnsi="宋体"/>
        </w:rPr>
        <w:t>流</w:t>
      </w:r>
      <w:r>
        <w:rPr>
          <w:rFonts w:ascii="宋体" w:hAnsi="宋体"/>
        </w:rPr>
        <w:t>程。</w:t>
      </w:r>
    </w:p>
    <w:p>
      <w:pPr>
        <w:pStyle w:val="20"/>
        <w:widowControl/>
        <w:numPr>
          <w:ilvl w:val="0"/>
          <w:numId w:val="9"/>
        </w:numPr>
        <w:ind w:firstLineChars="0"/>
        <w:contextualSpacing/>
        <w:jc w:val="left"/>
        <w:rPr>
          <w:rFonts w:ascii="宋体" w:hAnsi="宋体"/>
        </w:rPr>
      </w:pPr>
      <w:r>
        <w:rPr>
          <w:rFonts w:hint="eastAsia" w:ascii="宋体" w:hAnsi="宋体"/>
        </w:rPr>
        <w:t>公</w:t>
      </w:r>
      <w:r>
        <w:rPr>
          <w:rFonts w:ascii="宋体" w:hAnsi="宋体"/>
        </w:rPr>
        <w:t>文模板可自由定义</w:t>
      </w:r>
      <w:r>
        <w:rPr>
          <w:rFonts w:hint="eastAsia" w:ascii="宋体" w:hAnsi="宋体"/>
        </w:rPr>
        <w:t>，</w:t>
      </w:r>
      <w:r>
        <w:rPr>
          <w:rFonts w:ascii="宋体" w:hAnsi="宋体"/>
        </w:rPr>
        <w:t>可根据医院实际</w:t>
      </w:r>
      <w:r>
        <w:rPr>
          <w:rFonts w:hint="eastAsia" w:ascii="宋体" w:hAnsi="宋体"/>
        </w:rPr>
        <w:t>情</w:t>
      </w:r>
      <w:r>
        <w:rPr>
          <w:rFonts w:ascii="宋体" w:hAnsi="宋体"/>
        </w:rPr>
        <w:t>况</w:t>
      </w:r>
      <w:r>
        <w:rPr>
          <w:rFonts w:hint="eastAsia" w:ascii="宋体" w:hAnsi="宋体"/>
        </w:rPr>
        <w:t>灵</w:t>
      </w:r>
      <w:r>
        <w:rPr>
          <w:rFonts w:ascii="宋体" w:hAnsi="宋体"/>
        </w:rPr>
        <w:t>活定义多种发文</w:t>
      </w:r>
      <w:r>
        <w:rPr>
          <w:rFonts w:hint="eastAsia" w:ascii="宋体" w:hAnsi="宋体"/>
        </w:rPr>
        <w:t>草</w:t>
      </w:r>
      <w:r>
        <w:rPr>
          <w:rFonts w:ascii="宋体" w:hAnsi="宋体"/>
        </w:rPr>
        <w:t>稿、正式文件模板。</w:t>
      </w:r>
    </w:p>
    <w:p>
      <w:pPr>
        <w:pStyle w:val="20"/>
        <w:widowControl/>
        <w:numPr>
          <w:ilvl w:val="0"/>
          <w:numId w:val="9"/>
        </w:numPr>
        <w:ind w:firstLineChars="0"/>
        <w:contextualSpacing/>
        <w:jc w:val="left"/>
        <w:rPr>
          <w:rFonts w:ascii="宋体" w:hAnsi="宋体"/>
        </w:rPr>
      </w:pPr>
      <w:r>
        <w:rPr>
          <w:rFonts w:hint="eastAsia" w:ascii="宋体" w:hAnsi="宋体"/>
        </w:rPr>
        <w:t>提</w:t>
      </w:r>
      <w:r>
        <w:rPr>
          <w:rFonts w:ascii="宋体" w:hAnsi="宋体"/>
        </w:rPr>
        <w:t>供灵活的表单设计</w:t>
      </w:r>
      <w:r>
        <w:rPr>
          <w:rFonts w:hint="eastAsia" w:ascii="宋体" w:hAnsi="宋体"/>
        </w:rPr>
        <w:t>器</w:t>
      </w:r>
      <w:r>
        <w:rPr>
          <w:rFonts w:ascii="宋体" w:hAnsi="宋体"/>
        </w:rPr>
        <w:t>，医院根据实际情况，灵</w:t>
      </w:r>
      <w:r>
        <w:rPr>
          <w:rFonts w:hint="eastAsia" w:ascii="宋体" w:hAnsi="宋体"/>
        </w:rPr>
        <w:t>活定</w:t>
      </w:r>
      <w:r>
        <w:rPr>
          <w:rFonts w:ascii="宋体" w:hAnsi="宋体"/>
        </w:rPr>
        <w:t>义发文稿纸。</w:t>
      </w:r>
    </w:p>
    <w:p>
      <w:pPr>
        <w:pStyle w:val="20"/>
        <w:widowControl/>
        <w:numPr>
          <w:ilvl w:val="0"/>
          <w:numId w:val="9"/>
        </w:numPr>
        <w:ind w:firstLineChars="0"/>
        <w:contextualSpacing/>
        <w:jc w:val="left"/>
        <w:rPr>
          <w:rFonts w:ascii="宋体" w:hAnsi="宋体"/>
        </w:rPr>
      </w:pPr>
      <w:r>
        <w:rPr>
          <w:rFonts w:hint="eastAsia" w:ascii="宋体" w:hAnsi="宋体"/>
        </w:rPr>
        <w:t>公</w:t>
      </w:r>
      <w:r>
        <w:rPr>
          <w:rFonts w:ascii="宋体" w:hAnsi="宋体"/>
        </w:rPr>
        <w:t>文编号可自动生成，</w:t>
      </w:r>
      <w:r>
        <w:rPr>
          <w:rFonts w:hint="eastAsia" w:ascii="宋体" w:hAnsi="宋体"/>
        </w:rPr>
        <w:t>可灵</w:t>
      </w:r>
      <w:r>
        <w:rPr>
          <w:rFonts w:ascii="宋体" w:hAnsi="宋体"/>
        </w:rPr>
        <w:t>活设定机关代字、部门代字</w:t>
      </w:r>
      <w:r>
        <w:rPr>
          <w:rFonts w:hint="eastAsia" w:ascii="宋体" w:hAnsi="宋体"/>
        </w:rPr>
        <w:t>，</w:t>
      </w:r>
      <w:r>
        <w:rPr>
          <w:rFonts w:ascii="宋体" w:hAnsi="宋体"/>
        </w:rPr>
        <w:t>以及相应的文号</w:t>
      </w:r>
      <w:r>
        <w:rPr>
          <w:rFonts w:hint="eastAsia" w:ascii="宋体" w:hAnsi="宋体"/>
        </w:rPr>
        <w:t>规</w:t>
      </w:r>
      <w:r>
        <w:rPr>
          <w:rFonts w:ascii="宋体" w:hAnsi="宋体"/>
        </w:rPr>
        <w:t>则。</w:t>
      </w:r>
    </w:p>
    <w:p>
      <w:pPr>
        <w:pStyle w:val="20"/>
        <w:widowControl/>
        <w:numPr>
          <w:ilvl w:val="0"/>
          <w:numId w:val="9"/>
        </w:numPr>
        <w:ind w:firstLineChars="0"/>
        <w:contextualSpacing/>
        <w:jc w:val="left"/>
        <w:rPr>
          <w:rFonts w:ascii="宋体" w:hAnsi="宋体"/>
        </w:rPr>
      </w:pPr>
      <w:r>
        <w:rPr>
          <w:rFonts w:hint="eastAsia" w:ascii="宋体" w:hAnsi="宋体"/>
        </w:rPr>
        <w:t>公</w:t>
      </w:r>
      <w:r>
        <w:rPr>
          <w:rFonts w:ascii="宋体" w:hAnsi="宋体"/>
        </w:rPr>
        <w:t>文内容</w:t>
      </w:r>
      <w:r>
        <w:rPr>
          <w:rFonts w:hint="eastAsia" w:ascii="宋体" w:hAnsi="宋体"/>
        </w:rPr>
        <w:t>可在线编辑、修</w:t>
      </w:r>
      <w:r>
        <w:rPr>
          <w:rFonts w:ascii="宋体" w:hAnsi="宋体"/>
        </w:rPr>
        <w:t>订</w:t>
      </w:r>
      <w:r>
        <w:rPr>
          <w:rFonts w:hint="eastAsia" w:ascii="宋体" w:hAnsi="宋体"/>
        </w:rPr>
        <w:t>，</w:t>
      </w:r>
      <w:r>
        <w:rPr>
          <w:rFonts w:ascii="宋体" w:hAnsi="宋体"/>
        </w:rPr>
        <w:t>并保留</w:t>
      </w:r>
      <w:r>
        <w:rPr>
          <w:rFonts w:hint="eastAsia" w:ascii="宋体" w:hAnsi="宋体"/>
        </w:rPr>
        <w:t>痕迹，格式应支持Word、</w:t>
      </w:r>
      <w:r>
        <w:rPr>
          <w:rFonts w:ascii="宋体" w:hAnsi="宋体"/>
        </w:rPr>
        <w:t>WPS文件</w:t>
      </w:r>
      <w:r>
        <w:rPr>
          <w:rFonts w:hint="eastAsia" w:ascii="宋体" w:hAnsi="宋体"/>
        </w:rPr>
        <w:t>。</w:t>
      </w:r>
    </w:p>
    <w:p>
      <w:pPr>
        <w:pStyle w:val="20"/>
        <w:widowControl/>
        <w:ind w:firstLine="0" w:firstLineChars="0"/>
        <w:contextualSpacing/>
        <w:jc w:val="left"/>
        <w:rPr>
          <w:rFonts w:ascii="宋体" w:hAnsi="宋体"/>
          <w:b/>
        </w:rPr>
      </w:pPr>
      <w:r>
        <w:rPr>
          <w:rFonts w:hint="eastAsia" w:ascii="宋体" w:hAnsi="宋体"/>
          <w:b/>
        </w:rPr>
        <w:t>收</w:t>
      </w:r>
      <w:r>
        <w:rPr>
          <w:rFonts w:ascii="宋体" w:hAnsi="宋体"/>
          <w:b/>
        </w:rPr>
        <w:t>文管理：</w:t>
      </w:r>
    </w:p>
    <w:p>
      <w:pPr>
        <w:pStyle w:val="20"/>
        <w:widowControl/>
        <w:numPr>
          <w:ilvl w:val="0"/>
          <w:numId w:val="10"/>
        </w:numPr>
        <w:ind w:firstLineChars="0"/>
        <w:contextualSpacing/>
        <w:jc w:val="left"/>
        <w:rPr>
          <w:rFonts w:ascii="宋体" w:hAnsi="宋体"/>
        </w:rPr>
      </w:pPr>
      <w:r>
        <w:rPr>
          <w:rFonts w:hint="eastAsia" w:ascii="宋体" w:hAnsi="宋体"/>
        </w:rPr>
        <w:t>完成收文过程中的收文登记、拟办、转发、处室办</w:t>
      </w:r>
      <w:r>
        <w:rPr>
          <w:rFonts w:ascii="宋体" w:hAnsi="宋体"/>
        </w:rPr>
        <w:t>理</w:t>
      </w:r>
      <w:r>
        <w:rPr>
          <w:rFonts w:hint="eastAsia" w:ascii="宋体" w:hAnsi="宋体"/>
        </w:rPr>
        <w:t>、领导审核、归档的全过程管理，可</w:t>
      </w:r>
      <w:r>
        <w:rPr>
          <w:rFonts w:ascii="宋体" w:hAnsi="宋体"/>
        </w:rPr>
        <w:t>以对</w:t>
      </w:r>
      <w:r>
        <w:rPr>
          <w:rFonts w:hint="eastAsia" w:ascii="宋体" w:hAnsi="宋体"/>
        </w:rPr>
        <w:t>整个流程进行跟踪、详细记录公文的办理过程以及办理结果。</w:t>
      </w:r>
    </w:p>
    <w:p>
      <w:pPr>
        <w:pStyle w:val="20"/>
        <w:widowControl/>
        <w:numPr>
          <w:ilvl w:val="0"/>
          <w:numId w:val="10"/>
        </w:numPr>
        <w:ind w:firstLineChars="0"/>
        <w:contextualSpacing/>
        <w:jc w:val="left"/>
        <w:rPr>
          <w:rFonts w:ascii="宋体" w:hAnsi="宋体"/>
        </w:rPr>
      </w:pPr>
      <w:r>
        <w:rPr>
          <w:rFonts w:hint="eastAsia" w:ascii="宋体" w:hAnsi="宋体"/>
        </w:rPr>
        <w:t>提</w:t>
      </w:r>
      <w:r>
        <w:rPr>
          <w:rFonts w:ascii="宋体" w:hAnsi="宋体"/>
        </w:rPr>
        <w:t>供灵活的表单设计器，医</w:t>
      </w:r>
      <w:r>
        <w:rPr>
          <w:rFonts w:hint="eastAsia" w:ascii="宋体" w:hAnsi="宋体"/>
        </w:rPr>
        <w:t>院</w:t>
      </w:r>
      <w:r>
        <w:rPr>
          <w:rFonts w:ascii="宋体" w:hAnsi="宋体"/>
        </w:rPr>
        <w:t>根据实际情况，</w:t>
      </w:r>
      <w:r>
        <w:rPr>
          <w:rFonts w:hint="eastAsia" w:ascii="宋体" w:hAnsi="宋体"/>
        </w:rPr>
        <w:t>灵</w:t>
      </w:r>
      <w:r>
        <w:rPr>
          <w:rFonts w:ascii="宋体" w:hAnsi="宋体"/>
        </w:rPr>
        <w:t>活定义收文办理</w:t>
      </w:r>
      <w:r>
        <w:rPr>
          <w:rFonts w:hint="eastAsia" w:ascii="宋体" w:hAnsi="宋体"/>
        </w:rPr>
        <w:t>单</w:t>
      </w:r>
      <w:r>
        <w:rPr>
          <w:rFonts w:ascii="宋体" w:hAnsi="宋体"/>
        </w:rPr>
        <w:t>的格式</w:t>
      </w:r>
      <w:r>
        <w:rPr>
          <w:rFonts w:hint="eastAsia" w:ascii="宋体" w:hAnsi="宋体"/>
        </w:rPr>
        <w:t>及</w:t>
      </w:r>
      <w:r>
        <w:rPr>
          <w:rFonts w:ascii="宋体" w:hAnsi="宋体"/>
        </w:rPr>
        <w:t>收文流程。</w:t>
      </w:r>
    </w:p>
    <w:p>
      <w:pPr>
        <w:pStyle w:val="20"/>
        <w:widowControl/>
        <w:numPr>
          <w:ilvl w:val="0"/>
          <w:numId w:val="10"/>
        </w:numPr>
        <w:ind w:firstLineChars="0"/>
        <w:contextualSpacing/>
        <w:jc w:val="left"/>
        <w:outlineLvl w:val="3"/>
        <w:rPr>
          <w:rFonts w:ascii="宋体" w:hAnsi="宋体"/>
        </w:rPr>
      </w:pPr>
      <w:r>
        <w:rPr>
          <w:rFonts w:hint="eastAsia" w:ascii="宋体" w:hAnsi="宋体"/>
        </w:rPr>
        <w:t>可</w:t>
      </w:r>
      <w:r>
        <w:rPr>
          <w:rFonts w:ascii="宋体" w:hAnsi="宋体"/>
        </w:rPr>
        <w:t>以自动生成</w:t>
      </w:r>
      <w:r>
        <w:rPr>
          <w:rFonts w:hint="eastAsia" w:ascii="宋体" w:hAnsi="宋体"/>
        </w:rPr>
        <w:t>收</w:t>
      </w:r>
      <w:r>
        <w:rPr>
          <w:rFonts w:ascii="宋体" w:hAnsi="宋体"/>
        </w:rPr>
        <w:t>文编</w:t>
      </w:r>
      <w:r>
        <w:rPr>
          <w:rFonts w:hint="eastAsia" w:ascii="宋体" w:hAnsi="宋体"/>
        </w:rPr>
        <w:t>号。</w:t>
      </w:r>
    </w:p>
    <w:p>
      <w:pPr>
        <w:pStyle w:val="20"/>
        <w:widowControl/>
        <w:numPr>
          <w:ilvl w:val="0"/>
          <w:numId w:val="10"/>
        </w:numPr>
        <w:ind w:firstLineChars="0"/>
        <w:contextualSpacing/>
        <w:jc w:val="left"/>
        <w:rPr>
          <w:rFonts w:ascii="宋体" w:hAnsi="宋体"/>
        </w:rPr>
      </w:pPr>
      <w:r>
        <w:rPr>
          <w:rFonts w:ascii="宋体" w:hAnsi="宋体"/>
        </w:rPr>
        <w:t>公文</w:t>
      </w:r>
      <w:r>
        <w:rPr>
          <w:rFonts w:hint="eastAsia" w:ascii="宋体" w:hAnsi="宋体"/>
        </w:rPr>
        <w:t>办</w:t>
      </w:r>
      <w:r>
        <w:rPr>
          <w:rFonts w:ascii="宋体" w:hAnsi="宋体"/>
        </w:rPr>
        <w:t>理完毕，</w:t>
      </w:r>
      <w:r>
        <w:rPr>
          <w:rFonts w:hint="eastAsia" w:ascii="宋体" w:hAnsi="宋体"/>
        </w:rPr>
        <w:t>可</w:t>
      </w:r>
      <w:r>
        <w:rPr>
          <w:rFonts w:ascii="宋体" w:hAnsi="宋体"/>
        </w:rPr>
        <w:t>以自动转发到门户</w:t>
      </w:r>
      <w:r>
        <w:rPr>
          <w:rFonts w:hint="eastAsia" w:ascii="宋体" w:hAnsi="宋体"/>
        </w:rPr>
        <w:t>栏</w:t>
      </w:r>
      <w:r>
        <w:rPr>
          <w:rFonts w:ascii="宋体" w:hAnsi="宋体"/>
        </w:rPr>
        <w:t>目，</w:t>
      </w:r>
      <w:r>
        <w:rPr>
          <w:rFonts w:hint="eastAsia" w:ascii="宋体" w:hAnsi="宋体"/>
        </w:rPr>
        <w:t>让</w:t>
      </w:r>
      <w:r>
        <w:rPr>
          <w:rFonts w:ascii="宋体" w:hAnsi="宋体"/>
        </w:rPr>
        <w:t>全院</w:t>
      </w:r>
      <w:r>
        <w:rPr>
          <w:rFonts w:hint="eastAsia" w:ascii="宋体" w:hAnsi="宋体"/>
        </w:rPr>
        <w:t>职</w:t>
      </w:r>
      <w:r>
        <w:rPr>
          <w:rFonts w:ascii="宋体" w:hAnsi="宋体"/>
        </w:rPr>
        <w:t>工查阅；也可以</w:t>
      </w:r>
      <w:r>
        <w:rPr>
          <w:rFonts w:hint="eastAsia" w:ascii="宋体" w:hAnsi="宋体"/>
        </w:rPr>
        <w:t>通</w:t>
      </w:r>
      <w:r>
        <w:rPr>
          <w:rFonts w:ascii="宋体" w:hAnsi="宋体"/>
        </w:rPr>
        <w:t>过“传阅”转发给</w:t>
      </w:r>
      <w:r>
        <w:rPr>
          <w:rFonts w:hint="eastAsia" w:ascii="宋体" w:hAnsi="宋体"/>
        </w:rPr>
        <w:t>各</w:t>
      </w:r>
      <w:r>
        <w:rPr>
          <w:rFonts w:ascii="宋体" w:hAnsi="宋体"/>
        </w:rPr>
        <w:t>科室负责人等部分人员。</w:t>
      </w:r>
    </w:p>
    <w:p>
      <w:pPr>
        <w:pStyle w:val="20"/>
        <w:widowControl/>
        <w:numPr>
          <w:ilvl w:val="0"/>
          <w:numId w:val="10"/>
        </w:numPr>
        <w:ind w:firstLineChars="0"/>
        <w:contextualSpacing/>
        <w:jc w:val="left"/>
        <w:rPr>
          <w:rFonts w:ascii="宋体" w:hAnsi="宋体"/>
        </w:rPr>
      </w:pPr>
      <w:r>
        <w:rPr>
          <w:rFonts w:hint="eastAsia" w:ascii="宋体" w:hAnsi="宋体"/>
        </w:rPr>
        <w:t>▲收文附件支持OFD格式预览，并能在客户端不安装软件的情况下直接打开查看文件内容；</w:t>
      </w:r>
    </w:p>
    <w:p>
      <w:pPr>
        <w:pStyle w:val="6"/>
        <w:outlineLvl w:val="4"/>
        <w:rPr>
          <w:sz w:val="24"/>
        </w:rPr>
      </w:pPr>
      <w:r>
        <w:rPr>
          <w:rFonts w:hint="eastAsia"/>
          <w:sz w:val="24"/>
        </w:rPr>
        <w:t>文件</w:t>
      </w:r>
      <w:r>
        <w:rPr>
          <w:sz w:val="24"/>
        </w:rPr>
        <w:t>传阅</w:t>
      </w:r>
    </w:p>
    <w:p>
      <w:pPr>
        <w:pStyle w:val="20"/>
        <w:widowControl/>
        <w:numPr>
          <w:ilvl w:val="0"/>
          <w:numId w:val="11"/>
        </w:numPr>
        <w:ind w:firstLineChars="0"/>
        <w:contextualSpacing/>
        <w:jc w:val="left"/>
        <w:rPr>
          <w:rFonts w:ascii="宋体" w:hAnsi="宋体"/>
        </w:rPr>
      </w:pPr>
      <w:r>
        <w:rPr>
          <w:rFonts w:hint="eastAsia" w:ascii="宋体" w:hAnsi="宋体"/>
        </w:rPr>
        <w:t>医院员工可以通过传阅信息向其他科室人员发送信息，传阅可指定主送人员及抄送人员，系统通过消息提醒功能提醒主送人及抄送人，传阅信息可包含各类文件附件。传阅人员接收打开后，系统可记录打开时间，方便传阅发送人检查开封状态，避免工作推诿。</w:t>
      </w:r>
    </w:p>
    <w:p>
      <w:pPr>
        <w:pStyle w:val="20"/>
        <w:widowControl/>
        <w:numPr>
          <w:ilvl w:val="0"/>
          <w:numId w:val="11"/>
        </w:numPr>
        <w:ind w:firstLineChars="0"/>
        <w:contextualSpacing/>
        <w:jc w:val="left"/>
        <w:rPr>
          <w:rFonts w:ascii="宋体" w:hAnsi="宋体"/>
        </w:rPr>
      </w:pPr>
      <w:r>
        <w:rPr>
          <w:rFonts w:hint="eastAsia" w:ascii="宋体" w:hAnsi="宋体"/>
        </w:rPr>
        <w:t>传阅支持讨论功能，各接收人可以就传阅内容发表讨论意见及提出问题，相关人员通过讨论回复，传阅的发起人及接收人都可以查看所有人员的讨论回复内容。</w:t>
      </w:r>
    </w:p>
    <w:p>
      <w:pPr>
        <w:pStyle w:val="20"/>
        <w:widowControl/>
        <w:numPr>
          <w:ilvl w:val="0"/>
          <w:numId w:val="11"/>
        </w:numPr>
        <w:ind w:firstLineChars="0"/>
        <w:contextualSpacing/>
        <w:jc w:val="left"/>
        <w:rPr>
          <w:rFonts w:ascii="宋体" w:hAnsi="宋体"/>
        </w:rPr>
      </w:pPr>
      <w:r>
        <w:rPr>
          <w:rFonts w:hint="eastAsia" w:ascii="宋体" w:hAnsi="宋体"/>
        </w:rPr>
        <w:t>▲传阅文件附件可由传阅的所有参与人在线编辑、修订，并保留痕迹，可编辑文件格式应支持Word、Excel及WPS文件。</w:t>
      </w:r>
    </w:p>
    <w:p>
      <w:pPr>
        <w:pStyle w:val="6"/>
        <w:rPr>
          <w:sz w:val="24"/>
        </w:rPr>
      </w:pPr>
      <w:r>
        <w:rPr>
          <w:rFonts w:hint="eastAsia"/>
          <w:sz w:val="24"/>
        </w:rPr>
        <w:t>工作论坛</w:t>
      </w:r>
    </w:p>
    <w:p>
      <w:pPr>
        <w:pStyle w:val="20"/>
        <w:widowControl/>
        <w:ind w:firstLine="424" w:firstLineChars="177"/>
        <w:contextualSpacing/>
        <w:jc w:val="left"/>
        <w:rPr>
          <w:rFonts w:ascii="宋体" w:hAnsi="宋体"/>
          <w:szCs w:val="24"/>
        </w:rPr>
      </w:pPr>
      <w:r>
        <w:rPr>
          <w:rFonts w:hint="eastAsia" w:ascii="宋体" w:hAnsi="宋体"/>
          <w:szCs w:val="24"/>
        </w:rPr>
        <w:t>提供发表新帖子功能，其他用户可在线回复帖子内容。论坛管理员可自定义论坛版块。</w:t>
      </w:r>
    </w:p>
    <w:p/>
    <w:p>
      <w:pPr>
        <w:pStyle w:val="6"/>
        <w:rPr>
          <w:sz w:val="24"/>
        </w:rPr>
      </w:pPr>
      <w:r>
        <w:rPr>
          <w:sz w:val="24"/>
        </w:rPr>
        <w:t>日程</w:t>
      </w:r>
      <w:r>
        <w:rPr>
          <w:rFonts w:hint="eastAsia"/>
          <w:sz w:val="24"/>
        </w:rPr>
        <w:t>管理</w:t>
      </w:r>
    </w:p>
    <w:p>
      <w:pPr>
        <w:pStyle w:val="20"/>
        <w:widowControl/>
        <w:ind w:left="0" w:leftChars="-67" w:hanging="141" w:hangingChars="59"/>
        <w:contextualSpacing/>
        <w:jc w:val="left"/>
        <w:rPr>
          <w:rFonts w:ascii="宋体" w:hAnsi="宋体"/>
          <w:szCs w:val="24"/>
        </w:rPr>
      </w:pPr>
      <w:r>
        <w:rPr>
          <w:rFonts w:hint="eastAsia" w:ascii="宋体" w:hAnsi="宋体"/>
          <w:szCs w:val="24"/>
        </w:rPr>
        <w:t>（1</w:t>
      </w:r>
      <w:r>
        <w:rPr>
          <w:rFonts w:ascii="宋体" w:hAnsi="宋体"/>
          <w:szCs w:val="24"/>
        </w:rPr>
        <w:t>）</w:t>
      </w:r>
      <w:r>
        <w:rPr>
          <w:rFonts w:hint="eastAsia" w:ascii="宋体" w:hAnsi="宋体"/>
          <w:szCs w:val="24"/>
        </w:rPr>
        <w:t>通过日程安排模块，用户可以安排自己每天的工作、预约他人。</w:t>
      </w:r>
    </w:p>
    <w:p>
      <w:pPr>
        <w:pStyle w:val="20"/>
        <w:widowControl/>
        <w:ind w:left="0" w:leftChars="-67" w:hanging="141" w:hangingChars="59"/>
        <w:contextualSpacing/>
        <w:jc w:val="left"/>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可查看内部科室其它人员公开的日程安排。</w:t>
      </w:r>
    </w:p>
    <w:p>
      <w:pPr>
        <w:pStyle w:val="20"/>
        <w:widowControl/>
        <w:ind w:left="0" w:leftChars="-67" w:hanging="141" w:hangingChars="59"/>
        <w:contextualSpacing/>
        <w:jc w:val="left"/>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领导</w:t>
      </w:r>
      <w:r>
        <w:rPr>
          <w:rFonts w:ascii="宋体" w:hAnsi="宋体"/>
          <w:szCs w:val="24"/>
        </w:rPr>
        <w:t>日程可以</w:t>
      </w:r>
      <w:r>
        <w:rPr>
          <w:rFonts w:hint="eastAsia" w:ascii="宋体" w:hAnsi="宋体"/>
          <w:szCs w:val="24"/>
        </w:rPr>
        <w:t>公开</w:t>
      </w:r>
      <w:r>
        <w:rPr>
          <w:rFonts w:ascii="宋体" w:hAnsi="宋体"/>
          <w:szCs w:val="24"/>
        </w:rPr>
        <w:t>给</w:t>
      </w:r>
      <w:r>
        <w:rPr>
          <w:rFonts w:hint="eastAsia" w:ascii="宋体" w:hAnsi="宋体"/>
          <w:szCs w:val="24"/>
        </w:rPr>
        <w:t>秘书处代为安排日程。</w:t>
      </w:r>
    </w:p>
    <w:p>
      <w:pPr>
        <w:pStyle w:val="6"/>
        <w:rPr>
          <w:sz w:val="24"/>
        </w:rPr>
      </w:pPr>
      <w:r>
        <w:rPr>
          <w:rFonts w:hint="eastAsia"/>
          <w:sz w:val="24"/>
        </w:rPr>
        <w:t>车辆</w:t>
      </w:r>
      <w:r>
        <w:rPr>
          <w:sz w:val="24"/>
        </w:rPr>
        <w:t>管理</w:t>
      </w:r>
    </w:p>
    <w:p>
      <w:pPr>
        <w:pStyle w:val="20"/>
        <w:widowControl/>
        <w:numPr>
          <w:ilvl w:val="0"/>
          <w:numId w:val="12"/>
        </w:numPr>
        <w:ind w:firstLineChars="0"/>
        <w:contextualSpacing/>
        <w:jc w:val="left"/>
        <w:rPr>
          <w:rFonts w:ascii="宋体" w:hAnsi="宋体"/>
        </w:rPr>
      </w:pPr>
      <w:r>
        <w:rPr>
          <w:rFonts w:hint="eastAsia" w:ascii="宋体" w:hAnsi="宋体"/>
        </w:rPr>
        <w:t>医院</w:t>
      </w:r>
      <w:r>
        <w:rPr>
          <w:rFonts w:ascii="宋体" w:hAnsi="宋体"/>
        </w:rPr>
        <w:t>科室使用人员可提请</w:t>
      </w:r>
      <w:r>
        <w:rPr>
          <w:rFonts w:hint="eastAsia" w:ascii="宋体" w:hAnsi="宋体"/>
        </w:rPr>
        <w:t>车辆申请，</w:t>
      </w:r>
      <w:r>
        <w:rPr>
          <w:rFonts w:ascii="宋体" w:hAnsi="宋体"/>
        </w:rPr>
        <w:t>填写完</w:t>
      </w:r>
      <w:r>
        <w:rPr>
          <w:rFonts w:hint="eastAsia" w:ascii="宋体" w:hAnsi="宋体"/>
        </w:rPr>
        <w:t>用车申请单后可进入审批流程；</w:t>
      </w:r>
    </w:p>
    <w:p>
      <w:pPr>
        <w:pStyle w:val="20"/>
        <w:widowControl/>
        <w:numPr>
          <w:ilvl w:val="0"/>
          <w:numId w:val="12"/>
        </w:numPr>
        <w:ind w:firstLineChars="0"/>
        <w:contextualSpacing/>
        <w:jc w:val="left"/>
        <w:rPr>
          <w:rFonts w:ascii="宋体" w:hAnsi="宋体"/>
        </w:rPr>
      </w:pPr>
      <w:r>
        <w:rPr>
          <w:rFonts w:hint="eastAsia" w:ascii="宋体" w:hAnsi="宋体"/>
        </w:rPr>
        <w:t>可对车辆维修进行记录；</w:t>
      </w:r>
    </w:p>
    <w:p>
      <w:pPr>
        <w:pStyle w:val="20"/>
        <w:widowControl/>
        <w:numPr>
          <w:ilvl w:val="0"/>
          <w:numId w:val="12"/>
        </w:numPr>
        <w:ind w:firstLineChars="0"/>
        <w:contextualSpacing/>
        <w:jc w:val="left"/>
        <w:rPr>
          <w:rFonts w:ascii="宋体" w:hAnsi="宋体"/>
        </w:rPr>
      </w:pPr>
      <w:r>
        <w:rPr>
          <w:rFonts w:hint="eastAsia" w:ascii="宋体" w:hAnsi="宋体"/>
        </w:rPr>
        <w:t>可对车辆进行日检记录；</w:t>
      </w:r>
    </w:p>
    <w:p>
      <w:pPr>
        <w:pStyle w:val="20"/>
        <w:widowControl/>
        <w:numPr>
          <w:ilvl w:val="0"/>
          <w:numId w:val="12"/>
        </w:numPr>
        <w:ind w:firstLineChars="0"/>
        <w:contextualSpacing/>
        <w:jc w:val="left"/>
        <w:rPr>
          <w:rFonts w:ascii="宋体" w:hAnsi="宋体"/>
        </w:rPr>
      </w:pPr>
      <w:r>
        <w:rPr>
          <w:rFonts w:hint="eastAsia" w:ascii="宋体" w:hAnsi="宋体"/>
        </w:rPr>
        <w:t>系统提供清晰的车辆使用日历看板</w:t>
      </w:r>
    </w:p>
    <w:p>
      <w:pPr>
        <w:pStyle w:val="20"/>
        <w:widowControl/>
        <w:numPr>
          <w:ilvl w:val="0"/>
          <w:numId w:val="12"/>
        </w:numPr>
        <w:ind w:firstLineChars="0"/>
        <w:contextualSpacing/>
        <w:jc w:val="left"/>
        <w:rPr>
          <w:rFonts w:ascii="宋体" w:hAnsi="宋体"/>
        </w:rPr>
      </w:pPr>
      <w:r>
        <w:rPr>
          <w:rFonts w:hint="eastAsia" w:ascii="宋体" w:hAnsi="宋体"/>
        </w:rPr>
        <w:t>可出派车及实际用车报表/车辆费用报表/维修报表等。</w:t>
      </w:r>
    </w:p>
    <w:p>
      <w:pPr>
        <w:pStyle w:val="6"/>
        <w:rPr>
          <w:sz w:val="24"/>
        </w:rPr>
      </w:pPr>
      <w:r>
        <w:rPr>
          <w:rFonts w:hint="eastAsia"/>
          <w:sz w:val="24"/>
        </w:rPr>
        <w:t>任务管理</w:t>
      </w:r>
    </w:p>
    <w:p>
      <w:pPr>
        <w:pStyle w:val="20"/>
        <w:widowControl/>
        <w:numPr>
          <w:ilvl w:val="0"/>
          <w:numId w:val="13"/>
        </w:numPr>
        <w:ind w:firstLineChars="0"/>
        <w:contextualSpacing/>
        <w:jc w:val="left"/>
        <w:rPr>
          <w:rFonts w:ascii="宋体" w:hAnsi="宋体"/>
        </w:rPr>
      </w:pPr>
      <w:r>
        <w:rPr>
          <w:rFonts w:hint="eastAsia" w:ascii="宋体" w:hAnsi="宋体"/>
        </w:rPr>
        <w:t>▲领导可以方便地安排任务（交办），经办人收到领导交办的任务后，进行工作的组织（承办），并随时可方便地向任务交办人（领导）进行进程汇报。</w:t>
      </w:r>
    </w:p>
    <w:p>
      <w:pPr>
        <w:pStyle w:val="20"/>
        <w:widowControl/>
        <w:numPr>
          <w:ilvl w:val="0"/>
          <w:numId w:val="13"/>
        </w:numPr>
        <w:ind w:firstLineChars="0"/>
        <w:contextualSpacing/>
        <w:jc w:val="left"/>
        <w:rPr>
          <w:rFonts w:ascii="宋体" w:hAnsi="宋体"/>
        </w:rPr>
      </w:pPr>
      <w:r>
        <w:rPr>
          <w:rFonts w:hint="eastAsia" w:ascii="宋体" w:hAnsi="宋体"/>
        </w:rPr>
        <w:t>领导可以随时掌控任务的执行情况，对任务的执行人进行工作的指导，对未按规定时间完成的任务进行催办督办。</w:t>
      </w:r>
    </w:p>
    <w:p>
      <w:pPr>
        <w:pStyle w:val="20"/>
        <w:widowControl/>
        <w:numPr>
          <w:ilvl w:val="0"/>
          <w:numId w:val="13"/>
        </w:numPr>
        <w:ind w:firstLineChars="0"/>
        <w:contextualSpacing/>
        <w:jc w:val="left"/>
        <w:outlineLvl w:val="3"/>
        <w:rPr>
          <w:rFonts w:ascii="宋体" w:hAnsi="宋体"/>
        </w:rPr>
      </w:pPr>
      <w:r>
        <w:rPr>
          <w:rFonts w:hint="eastAsia" w:ascii="宋体" w:hAnsi="宋体"/>
        </w:rPr>
        <w:t>可通过</w:t>
      </w:r>
      <w:r>
        <w:rPr>
          <w:rFonts w:ascii="宋体" w:hAnsi="宋体"/>
        </w:rPr>
        <w:t>甘特图、任务日志的方式追踪任务进度。</w:t>
      </w:r>
    </w:p>
    <w:p>
      <w:pPr>
        <w:pStyle w:val="6"/>
        <w:outlineLvl w:val="4"/>
        <w:rPr>
          <w:sz w:val="24"/>
        </w:rPr>
      </w:pPr>
      <w:r>
        <w:rPr>
          <w:sz w:val="24"/>
        </w:rPr>
        <w:t>会议管理</w:t>
      </w:r>
    </w:p>
    <w:p>
      <w:pPr>
        <w:pStyle w:val="20"/>
        <w:widowControl/>
        <w:ind w:firstLine="480"/>
        <w:contextualSpacing/>
        <w:jc w:val="left"/>
        <w:rPr>
          <w:rFonts w:ascii="宋体" w:hAnsi="宋体"/>
          <w:szCs w:val="24"/>
        </w:rPr>
      </w:pPr>
      <w:r>
        <w:rPr>
          <w:rFonts w:hint="eastAsia" w:ascii="宋体" w:hAnsi="宋体"/>
          <w:szCs w:val="24"/>
        </w:rPr>
        <w:t>对</w:t>
      </w:r>
      <w:r>
        <w:rPr>
          <w:rFonts w:ascii="宋体" w:hAnsi="宋体"/>
          <w:szCs w:val="24"/>
        </w:rPr>
        <w:t>会</w:t>
      </w:r>
      <w:r>
        <w:rPr>
          <w:rFonts w:hint="eastAsia" w:ascii="宋体" w:hAnsi="宋体"/>
          <w:szCs w:val="24"/>
        </w:rPr>
        <w:t>前</w:t>
      </w:r>
      <w:r>
        <w:rPr>
          <w:rFonts w:ascii="宋体" w:hAnsi="宋体"/>
          <w:szCs w:val="24"/>
        </w:rPr>
        <w:t>、会中、会后的</w:t>
      </w:r>
      <w:r>
        <w:rPr>
          <w:rFonts w:hint="eastAsia" w:ascii="宋体" w:hAnsi="宋体"/>
          <w:szCs w:val="24"/>
        </w:rPr>
        <w:t>会议全过程</w:t>
      </w:r>
      <w:r>
        <w:rPr>
          <w:rFonts w:ascii="宋体" w:hAnsi="宋体"/>
          <w:szCs w:val="24"/>
        </w:rPr>
        <w:t>进行管理。</w:t>
      </w:r>
    </w:p>
    <w:p>
      <w:pPr>
        <w:pStyle w:val="20"/>
        <w:widowControl/>
        <w:ind w:firstLine="480"/>
        <w:contextualSpacing/>
        <w:jc w:val="left"/>
        <w:rPr>
          <w:rFonts w:ascii="宋体" w:hAnsi="宋体"/>
          <w:szCs w:val="24"/>
        </w:rPr>
      </w:pPr>
      <w:r>
        <w:rPr>
          <w:rFonts w:hint="eastAsia" w:ascii="宋体" w:hAnsi="宋体"/>
          <w:szCs w:val="24"/>
        </w:rPr>
        <w:t>功能包含会议室设置、会议室状态、会议申请、会议登记、会议记录、会议执行管理。</w:t>
      </w:r>
    </w:p>
    <w:p>
      <w:pPr>
        <w:pStyle w:val="20"/>
        <w:widowControl/>
        <w:ind w:firstLine="480"/>
        <w:contextualSpacing/>
        <w:jc w:val="left"/>
        <w:rPr>
          <w:rFonts w:ascii="宋体" w:hAnsi="宋体"/>
          <w:szCs w:val="24"/>
        </w:rPr>
      </w:pPr>
      <w:r>
        <w:rPr>
          <w:rFonts w:hint="eastAsia" w:ascii="宋体" w:hAnsi="宋体"/>
          <w:szCs w:val="24"/>
        </w:rPr>
        <w:t>各部门可通过系统查看会议室的使用状态，实现会议室的申请。对开会结束后的会议纪要进行管理，由记录人起草会议纪要，经领导审批后，送相关领导或部门阅读。</w:t>
      </w:r>
    </w:p>
    <w:p>
      <w:pPr>
        <w:pStyle w:val="20"/>
        <w:widowControl/>
        <w:numPr>
          <w:ilvl w:val="0"/>
          <w:numId w:val="14"/>
        </w:numPr>
        <w:ind w:firstLineChars="0"/>
        <w:contextualSpacing/>
        <w:jc w:val="left"/>
        <w:outlineLvl w:val="3"/>
        <w:rPr>
          <w:rFonts w:ascii="宋体" w:hAnsi="宋体"/>
        </w:rPr>
      </w:pPr>
      <w:r>
        <w:rPr>
          <w:rFonts w:hint="eastAsia" w:ascii="宋体" w:hAnsi="宋体"/>
        </w:rPr>
        <w:t>需要支持会议申请、撤销，信息推送会议管理人员。</w:t>
      </w:r>
    </w:p>
    <w:p>
      <w:pPr>
        <w:pStyle w:val="20"/>
        <w:widowControl/>
        <w:numPr>
          <w:ilvl w:val="0"/>
          <w:numId w:val="14"/>
        </w:numPr>
        <w:ind w:firstLineChars="0"/>
        <w:contextualSpacing/>
        <w:jc w:val="left"/>
        <w:rPr>
          <w:rFonts w:ascii="宋体" w:hAnsi="宋体"/>
        </w:rPr>
      </w:pPr>
      <w:r>
        <w:rPr>
          <w:rFonts w:hint="eastAsia" w:ascii="宋体" w:hAnsi="宋体"/>
        </w:rPr>
        <w:t>会议纪要需要支持上传录音、图像、视频文件（手机端可直接采集上传）。</w:t>
      </w:r>
    </w:p>
    <w:p>
      <w:pPr>
        <w:pStyle w:val="20"/>
        <w:widowControl/>
        <w:numPr>
          <w:ilvl w:val="0"/>
          <w:numId w:val="14"/>
        </w:numPr>
        <w:ind w:firstLineChars="0"/>
        <w:contextualSpacing/>
        <w:jc w:val="left"/>
        <w:rPr>
          <w:rFonts w:ascii="宋体" w:hAnsi="宋体"/>
        </w:rPr>
      </w:pPr>
      <w:r>
        <w:rPr>
          <w:rFonts w:hint="eastAsia"/>
        </w:rPr>
        <w:t>▲</w:t>
      </w:r>
      <w:r>
        <w:rPr>
          <w:rFonts w:hint="eastAsia" w:ascii="宋体" w:hAnsi="宋体"/>
        </w:rPr>
        <w:t>会议可新建或关联或编辑修改会议中提交中的督办事项、议题、流程、子流程、发起的日程、任务，通过会议室管理统一进行流转管理，会议系统与督办事项的登记、查询、跟踪、反馈管理实现一体化管理。</w:t>
      </w:r>
    </w:p>
    <w:p>
      <w:pPr>
        <w:pStyle w:val="20"/>
        <w:widowControl/>
        <w:numPr>
          <w:ilvl w:val="0"/>
          <w:numId w:val="14"/>
        </w:numPr>
        <w:ind w:firstLineChars="0"/>
        <w:contextualSpacing/>
        <w:jc w:val="left"/>
        <w:rPr>
          <w:rFonts w:ascii="宋体" w:hAnsi="宋体"/>
        </w:rPr>
      </w:pPr>
      <w:r>
        <w:rPr>
          <w:rFonts w:hint="eastAsia" w:ascii="宋体" w:hAnsi="宋体"/>
        </w:rPr>
        <w:t>会议安排可支持单独安排、批量安排模式，支持按照时间点占用会议室，每日的会议安排支持打印、导出。</w:t>
      </w:r>
    </w:p>
    <w:p>
      <w:pPr>
        <w:pStyle w:val="20"/>
        <w:widowControl/>
        <w:numPr>
          <w:ilvl w:val="0"/>
          <w:numId w:val="14"/>
        </w:numPr>
        <w:ind w:firstLineChars="0"/>
        <w:contextualSpacing/>
        <w:jc w:val="left"/>
        <w:rPr>
          <w:rFonts w:ascii="宋体" w:hAnsi="宋体"/>
        </w:rPr>
      </w:pPr>
      <w:r>
        <w:rPr>
          <w:rFonts w:hint="eastAsia" w:ascii="宋体" w:hAnsi="宋体"/>
        </w:rPr>
        <w:t>流转的过程中可以附带会议正文和议题附件，可以在申请当时或者会议室申请成功后通过消息推送的方式提醒与会人员。</w:t>
      </w:r>
    </w:p>
    <w:p>
      <w:pPr>
        <w:pStyle w:val="20"/>
        <w:widowControl/>
        <w:numPr>
          <w:ilvl w:val="0"/>
          <w:numId w:val="14"/>
        </w:numPr>
        <w:ind w:firstLineChars="0"/>
        <w:contextualSpacing/>
        <w:jc w:val="left"/>
        <w:outlineLvl w:val="3"/>
        <w:rPr>
          <w:rFonts w:ascii="宋体" w:hAnsi="宋体"/>
        </w:rPr>
      </w:pPr>
      <w:r>
        <w:rPr>
          <w:rFonts w:ascii="宋体" w:hAnsi="宋体"/>
        </w:rPr>
        <w:t>系统提供会议决议投票</w:t>
      </w:r>
      <w:r>
        <w:rPr>
          <w:rFonts w:hint="eastAsia" w:ascii="宋体" w:hAnsi="宋体"/>
        </w:rPr>
        <w:t>功能</w:t>
      </w:r>
      <w:r>
        <w:rPr>
          <w:rFonts w:ascii="宋体" w:hAnsi="宋体"/>
        </w:rPr>
        <w:t>。</w:t>
      </w:r>
    </w:p>
    <w:p>
      <w:pPr>
        <w:pStyle w:val="6"/>
        <w:outlineLvl w:val="4"/>
        <w:rPr>
          <w:sz w:val="24"/>
        </w:rPr>
      </w:pPr>
      <w:r>
        <w:rPr>
          <w:rFonts w:hint="eastAsia"/>
          <w:sz w:val="24"/>
        </w:rPr>
        <w:t>流程管理</w:t>
      </w:r>
    </w:p>
    <w:p>
      <w:pPr>
        <w:pStyle w:val="20"/>
        <w:widowControl/>
        <w:ind w:firstLine="424" w:firstLineChars="177"/>
        <w:contextualSpacing/>
        <w:jc w:val="left"/>
        <w:rPr>
          <w:rFonts w:ascii="宋体" w:hAnsi="宋体"/>
          <w:szCs w:val="24"/>
        </w:rPr>
      </w:pPr>
      <w:r>
        <w:rPr>
          <w:rFonts w:hint="eastAsia" w:ascii="宋体" w:hAnsi="宋体"/>
          <w:szCs w:val="24"/>
        </w:rPr>
        <w:t>系统的流程管理能够完成自建流程、调用模板流程、自建个人模板、上传附件、调用表单等功能，以完成医院内部、外部，跨时间、跨空间的资料传递、审批、请示、报告、汇报、工作沟通等工作内容。具体要求如下：</w:t>
      </w:r>
    </w:p>
    <w:p>
      <w:pPr>
        <w:pStyle w:val="20"/>
        <w:widowControl/>
        <w:numPr>
          <w:ilvl w:val="0"/>
          <w:numId w:val="15"/>
        </w:numPr>
        <w:ind w:firstLineChars="0"/>
        <w:contextualSpacing/>
        <w:jc w:val="left"/>
        <w:rPr>
          <w:rFonts w:ascii="宋体" w:hAnsi="宋体"/>
        </w:rPr>
      </w:pPr>
      <w:r>
        <w:rPr>
          <w:rFonts w:hint="eastAsia" w:ascii="宋体" w:hAnsi="宋体"/>
        </w:rPr>
        <w:t>▲提供B/S架构基于Web页面的流程设计器，</w:t>
      </w:r>
      <w:r>
        <w:rPr>
          <w:rFonts w:ascii="宋体" w:hAnsi="宋体"/>
        </w:rPr>
        <w:t>可实现</w:t>
      </w:r>
      <w:r>
        <w:rPr>
          <w:rFonts w:hint="eastAsia" w:ascii="宋体" w:hAnsi="宋体"/>
        </w:rPr>
        <w:t>零编码图形化的流程设计功能，并可提供便于流程使用者进行流程全貌查看的图形式流程显示方式。</w:t>
      </w:r>
    </w:p>
    <w:p>
      <w:pPr>
        <w:pStyle w:val="20"/>
        <w:widowControl/>
        <w:numPr>
          <w:ilvl w:val="0"/>
          <w:numId w:val="15"/>
        </w:numPr>
        <w:ind w:firstLineChars="0"/>
        <w:contextualSpacing/>
        <w:jc w:val="left"/>
        <w:rPr>
          <w:rFonts w:ascii="宋体" w:hAnsi="宋体"/>
        </w:rPr>
      </w:pPr>
      <w:r>
        <w:rPr>
          <w:rFonts w:hint="eastAsia" w:ascii="宋体" w:hAnsi="宋体"/>
        </w:rPr>
        <w:t>可以根据用户实际情况，灵活定义多种流程，灵活定义流转路径；</w:t>
      </w:r>
    </w:p>
    <w:p>
      <w:pPr>
        <w:pStyle w:val="20"/>
        <w:widowControl/>
        <w:numPr>
          <w:ilvl w:val="0"/>
          <w:numId w:val="15"/>
        </w:numPr>
        <w:ind w:firstLineChars="0"/>
        <w:contextualSpacing/>
        <w:jc w:val="left"/>
        <w:rPr>
          <w:rFonts w:ascii="宋体" w:hAnsi="宋体"/>
        </w:rPr>
      </w:pPr>
      <w:r>
        <w:rPr>
          <w:rFonts w:hint="eastAsia" w:ascii="宋体" w:hAnsi="宋体"/>
        </w:rPr>
        <w:t>支持审</w:t>
      </w:r>
      <w:r>
        <w:rPr>
          <w:rFonts w:ascii="宋体" w:hAnsi="宋体"/>
        </w:rPr>
        <w:t>批、通知、条件判断、</w:t>
      </w:r>
      <w:r>
        <w:rPr>
          <w:rFonts w:hint="eastAsia" w:ascii="宋体" w:hAnsi="宋体"/>
        </w:rPr>
        <w:t>串</w:t>
      </w:r>
      <w:r>
        <w:rPr>
          <w:rFonts w:ascii="宋体" w:hAnsi="宋体"/>
        </w:rPr>
        <w:t>行、并行</w:t>
      </w:r>
      <w:r>
        <w:rPr>
          <w:rFonts w:hint="eastAsia" w:ascii="宋体" w:hAnsi="宋体"/>
        </w:rPr>
        <w:t>、分流、合流、以</w:t>
      </w:r>
      <w:r>
        <w:rPr>
          <w:rFonts w:ascii="宋体" w:hAnsi="宋体"/>
        </w:rPr>
        <w:t>及子流程</w:t>
      </w:r>
      <w:r>
        <w:rPr>
          <w:rFonts w:hint="eastAsia" w:ascii="宋体" w:hAnsi="宋体"/>
        </w:rPr>
        <w:t>等复杂的流程逻辑；</w:t>
      </w:r>
    </w:p>
    <w:p>
      <w:pPr>
        <w:pStyle w:val="20"/>
        <w:widowControl/>
        <w:numPr>
          <w:ilvl w:val="0"/>
          <w:numId w:val="15"/>
        </w:numPr>
        <w:ind w:firstLineChars="0"/>
        <w:contextualSpacing/>
        <w:jc w:val="left"/>
        <w:rPr>
          <w:rFonts w:ascii="宋体" w:hAnsi="宋体"/>
        </w:rPr>
      </w:pPr>
      <w:r>
        <w:rPr>
          <w:rFonts w:hint="eastAsia" w:ascii="宋体" w:hAnsi="宋体"/>
        </w:rPr>
        <w:t>支持同</w:t>
      </w:r>
      <w:r>
        <w:rPr>
          <w:rFonts w:ascii="宋体" w:hAnsi="宋体"/>
        </w:rPr>
        <w:t>意、不同</w:t>
      </w:r>
      <w:r>
        <w:rPr>
          <w:rFonts w:hint="eastAsia" w:ascii="宋体" w:hAnsi="宋体"/>
        </w:rPr>
        <w:t>意</w:t>
      </w:r>
      <w:r>
        <w:rPr>
          <w:rFonts w:ascii="宋体" w:hAnsi="宋体"/>
        </w:rPr>
        <w:t>、退回、跳转</w:t>
      </w:r>
      <w:r>
        <w:rPr>
          <w:rFonts w:hint="eastAsia" w:ascii="宋体" w:hAnsi="宋体"/>
        </w:rPr>
        <w:t>、终</w:t>
      </w:r>
      <w:r>
        <w:rPr>
          <w:rFonts w:ascii="宋体" w:hAnsi="宋体"/>
        </w:rPr>
        <w:t>止、</w:t>
      </w:r>
      <w:r>
        <w:rPr>
          <w:rFonts w:hint="eastAsia" w:ascii="宋体" w:hAnsi="宋体"/>
        </w:rPr>
        <w:t>意</w:t>
      </w:r>
      <w:r>
        <w:rPr>
          <w:rFonts w:ascii="宋体" w:hAnsi="宋体"/>
        </w:rPr>
        <w:t>见</w:t>
      </w:r>
      <w:r>
        <w:rPr>
          <w:rFonts w:hint="eastAsia" w:ascii="宋体" w:hAnsi="宋体"/>
        </w:rPr>
        <w:t>讨</w:t>
      </w:r>
      <w:r>
        <w:rPr>
          <w:rFonts w:ascii="宋体" w:hAnsi="宋体"/>
        </w:rPr>
        <w:t>论</w:t>
      </w:r>
      <w:r>
        <w:rPr>
          <w:rFonts w:hint="eastAsia" w:ascii="宋体" w:hAnsi="宋体"/>
        </w:rPr>
        <w:t>、</w:t>
      </w:r>
      <w:r>
        <w:rPr>
          <w:rFonts w:ascii="宋体" w:hAnsi="宋体"/>
        </w:rPr>
        <w:t>流程归档</w:t>
      </w:r>
      <w:r>
        <w:rPr>
          <w:rFonts w:hint="eastAsia" w:ascii="宋体" w:hAnsi="宋体"/>
        </w:rPr>
        <w:t>、设</w:t>
      </w:r>
      <w:r>
        <w:rPr>
          <w:rFonts w:ascii="宋体" w:hAnsi="宋体"/>
        </w:rPr>
        <w:t>置代理</w:t>
      </w:r>
      <w:r>
        <w:rPr>
          <w:rFonts w:hint="eastAsia" w:ascii="宋体" w:hAnsi="宋体"/>
        </w:rPr>
        <w:t>人等操</w:t>
      </w:r>
      <w:r>
        <w:rPr>
          <w:rFonts w:ascii="宋体" w:hAnsi="宋体"/>
        </w:rPr>
        <w:t>作</w:t>
      </w:r>
      <w:r>
        <w:rPr>
          <w:rFonts w:hint="eastAsia" w:ascii="宋体" w:hAnsi="宋体"/>
        </w:rPr>
        <w:t>；</w:t>
      </w:r>
    </w:p>
    <w:p>
      <w:pPr>
        <w:pStyle w:val="20"/>
        <w:widowControl/>
        <w:numPr>
          <w:ilvl w:val="0"/>
          <w:numId w:val="15"/>
        </w:numPr>
        <w:ind w:firstLineChars="0"/>
        <w:contextualSpacing/>
        <w:jc w:val="left"/>
        <w:outlineLvl w:val="3"/>
        <w:rPr>
          <w:rFonts w:ascii="宋体" w:hAnsi="宋体"/>
        </w:rPr>
      </w:pPr>
      <w:r>
        <w:rPr>
          <w:rFonts w:hint="eastAsia" w:ascii="宋体" w:hAnsi="宋体"/>
        </w:rPr>
        <w:t>可根据部门、角色、</w:t>
      </w:r>
      <w:r>
        <w:rPr>
          <w:rFonts w:ascii="宋体" w:hAnsi="宋体"/>
        </w:rPr>
        <w:t>职务</w:t>
      </w:r>
      <w:r>
        <w:rPr>
          <w:rFonts w:hint="eastAsia" w:ascii="宋体" w:hAnsi="宋体"/>
        </w:rPr>
        <w:t>等规则，确定流程步骤的执行人；</w:t>
      </w:r>
    </w:p>
    <w:p>
      <w:pPr>
        <w:pStyle w:val="20"/>
        <w:widowControl/>
        <w:numPr>
          <w:ilvl w:val="0"/>
          <w:numId w:val="15"/>
        </w:numPr>
        <w:ind w:firstLineChars="0"/>
        <w:contextualSpacing/>
        <w:jc w:val="left"/>
        <w:rPr>
          <w:rFonts w:ascii="宋体" w:hAnsi="宋体"/>
        </w:rPr>
      </w:pPr>
      <w:r>
        <w:rPr>
          <w:rFonts w:hint="eastAsia" w:ascii="宋体" w:hAnsi="宋体"/>
        </w:rPr>
        <w:t>流</w:t>
      </w:r>
      <w:r>
        <w:rPr>
          <w:rFonts w:ascii="宋体" w:hAnsi="宋体"/>
        </w:rPr>
        <w:t>程可以与自定义表</w:t>
      </w:r>
      <w:r>
        <w:rPr>
          <w:rFonts w:hint="eastAsia" w:ascii="宋体" w:hAnsi="宋体"/>
        </w:rPr>
        <w:t>单</w:t>
      </w:r>
      <w:r>
        <w:rPr>
          <w:rFonts w:ascii="宋体" w:hAnsi="宋体"/>
        </w:rPr>
        <w:t>相结</w:t>
      </w:r>
      <w:r>
        <w:rPr>
          <w:rFonts w:hint="eastAsia" w:ascii="宋体" w:hAnsi="宋体"/>
        </w:rPr>
        <w:t>合，</w:t>
      </w:r>
      <w:r>
        <w:rPr>
          <w:rFonts w:ascii="宋体" w:hAnsi="宋体"/>
        </w:rPr>
        <w:t>根</w:t>
      </w:r>
      <w:r>
        <w:rPr>
          <w:rFonts w:hint="eastAsia" w:ascii="宋体" w:hAnsi="宋体"/>
        </w:rPr>
        <w:t>据</w:t>
      </w:r>
      <w:r>
        <w:rPr>
          <w:rFonts w:ascii="宋体" w:hAnsi="宋体"/>
        </w:rPr>
        <w:t>医院实际情况</w:t>
      </w:r>
      <w:r>
        <w:rPr>
          <w:rFonts w:hint="eastAsia" w:ascii="宋体" w:hAnsi="宋体"/>
        </w:rPr>
        <w:t>灵</w:t>
      </w:r>
      <w:r>
        <w:rPr>
          <w:rFonts w:ascii="宋体" w:hAnsi="宋体"/>
        </w:rPr>
        <w:t>活扩展</w:t>
      </w:r>
      <w:r>
        <w:rPr>
          <w:rFonts w:hint="eastAsia" w:ascii="宋体" w:hAnsi="宋体"/>
        </w:rPr>
        <w:t>业</w:t>
      </w:r>
      <w:r>
        <w:rPr>
          <w:rFonts w:ascii="宋体" w:hAnsi="宋体"/>
        </w:rPr>
        <w:t>务功能，</w:t>
      </w:r>
      <w:r>
        <w:rPr>
          <w:rFonts w:hint="eastAsia" w:ascii="宋体" w:hAnsi="宋体"/>
        </w:rPr>
        <w:t>将诸</w:t>
      </w:r>
      <w:r>
        <w:rPr>
          <w:rFonts w:ascii="宋体" w:hAnsi="宋体"/>
        </w:rPr>
        <w:t>如</w:t>
      </w:r>
      <w:r>
        <w:rPr>
          <w:rFonts w:hint="eastAsia" w:ascii="宋体" w:hAnsi="宋体"/>
        </w:rPr>
        <w:t>物</w:t>
      </w:r>
      <w:r>
        <w:rPr>
          <w:rFonts w:ascii="宋体" w:hAnsi="宋体"/>
        </w:rPr>
        <w:t>资领用申请、</w:t>
      </w:r>
      <w:r>
        <w:rPr>
          <w:rFonts w:hint="eastAsia" w:ascii="宋体" w:hAnsi="宋体"/>
        </w:rPr>
        <w:t>重</w:t>
      </w:r>
      <w:r>
        <w:rPr>
          <w:rFonts w:ascii="宋体" w:hAnsi="宋体"/>
        </w:rPr>
        <w:t>大手术报备等各种业务</w:t>
      </w:r>
      <w:r>
        <w:rPr>
          <w:rFonts w:hint="eastAsia" w:ascii="宋体" w:hAnsi="宋体"/>
        </w:rPr>
        <w:t>通</w:t>
      </w:r>
      <w:r>
        <w:rPr>
          <w:rFonts w:ascii="宋体" w:hAnsi="宋体"/>
        </w:rPr>
        <w:t>过</w:t>
      </w:r>
      <w:r>
        <w:rPr>
          <w:rFonts w:hint="eastAsia" w:ascii="宋体" w:hAnsi="宋体"/>
        </w:rPr>
        <w:t>协同管理系统</w:t>
      </w:r>
      <w:r>
        <w:rPr>
          <w:rFonts w:ascii="宋体" w:hAnsi="宋体"/>
        </w:rPr>
        <w:t>实现申请、审批。</w:t>
      </w:r>
    </w:p>
    <w:p>
      <w:pPr>
        <w:pStyle w:val="20"/>
        <w:widowControl/>
        <w:numPr>
          <w:ilvl w:val="0"/>
          <w:numId w:val="15"/>
        </w:numPr>
        <w:ind w:firstLineChars="0"/>
        <w:contextualSpacing/>
        <w:jc w:val="left"/>
        <w:rPr>
          <w:rFonts w:ascii="宋体" w:hAnsi="宋体"/>
        </w:rPr>
      </w:pPr>
      <w:r>
        <w:rPr>
          <w:rFonts w:hint="eastAsia" w:ascii="宋体" w:hAnsi="宋体"/>
        </w:rPr>
        <w:t>▲提供系统内所有流程的效能分析统计，可按照个人和科室待办、已办、超时、知会、催办流程进行分类；能快速进入到一类事件中进行批量审批。</w:t>
      </w:r>
    </w:p>
    <w:p>
      <w:pPr>
        <w:pStyle w:val="6"/>
        <w:outlineLvl w:val="4"/>
        <w:rPr>
          <w:sz w:val="24"/>
        </w:rPr>
      </w:pPr>
      <w:r>
        <w:rPr>
          <w:sz w:val="24"/>
        </w:rPr>
        <w:t>表单</w:t>
      </w:r>
      <w:r>
        <w:rPr>
          <w:rFonts w:hint="eastAsia"/>
          <w:sz w:val="24"/>
        </w:rPr>
        <w:t>管理</w:t>
      </w:r>
    </w:p>
    <w:p>
      <w:pPr>
        <w:pStyle w:val="20"/>
        <w:widowControl/>
        <w:numPr>
          <w:ilvl w:val="0"/>
          <w:numId w:val="16"/>
        </w:numPr>
        <w:ind w:firstLineChars="0"/>
        <w:contextualSpacing/>
        <w:jc w:val="left"/>
        <w:rPr>
          <w:rFonts w:ascii="宋体" w:hAnsi="宋体"/>
        </w:rPr>
      </w:pPr>
      <w:r>
        <w:rPr>
          <w:rFonts w:hint="eastAsia" w:ascii="宋体" w:hAnsi="宋体"/>
        </w:rPr>
        <w:t>▲提供B/S架构基于Web页面的流程设计器，可实现零编码图形化的流程设计功能，并可提供便于流程使用者进行流程全貌查看的图形式流程显示方式。</w:t>
      </w:r>
    </w:p>
    <w:p>
      <w:pPr>
        <w:pStyle w:val="20"/>
        <w:widowControl/>
        <w:numPr>
          <w:ilvl w:val="0"/>
          <w:numId w:val="16"/>
        </w:numPr>
        <w:ind w:firstLineChars="0"/>
        <w:contextualSpacing/>
        <w:jc w:val="left"/>
        <w:rPr>
          <w:rFonts w:ascii="宋体" w:hAnsi="宋体"/>
        </w:rPr>
      </w:pPr>
      <w:r>
        <w:rPr>
          <w:rFonts w:hint="eastAsia" w:ascii="宋体" w:hAnsi="宋体"/>
        </w:rPr>
        <w:t>所见即所得的表单设计功能，提供向导式表单设计过程和图形化流程设计工具，支持表单导入，用户可以完全自定义实际应用的移动视图、Web视图、打印视图、表单的数据属性、表单的编辑及使用权限等功能，表单模板支持自定义功能。表单字段支持可以读取第三方数据库数据。</w:t>
      </w:r>
    </w:p>
    <w:p>
      <w:pPr>
        <w:pStyle w:val="20"/>
        <w:widowControl/>
        <w:numPr>
          <w:ilvl w:val="0"/>
          <w:numId w:val="16"/>
        </w:numPr>
        <w:ind w:firstLineChars="0"/>
        <w:contextualSpacing/>
        <w:jc w:val="left"/>
        <w:rPr>
          <w:rFonts w:ascii="宋体" w:hAnsi="宋体"/>
        </w:rPr>
      </w:pPr>
      <w:r>
        <w:rPr>
          <w:rFonts w:hint="eastAsia" w:ascii="宋体" w:hAnsi="宋体"/>
        </w:rPr>
        <w:t>可实现复杂的表单设计，如常见的采购单、订单等一对多关系的复杂表单，并支持重复表的设计，这对复杂的业务流程处理非常</w:t>
      </w:r>
      <w:r>
        <w:rPr>
          <w:rFonts w:ascii="宋体" w:hAnsi="宋体"/>
        </w:rPr>
        <w:t>重要。</w:t>
      </w:r>
    </w:p>
    <w:p>
      <w:pPr>
        <w:pStyle w:val="20"/>
        <w:widowControl/>
        <w:numPr>
          <w:ilvl w:val="0"/>
          <w:numId w:val="16"/>
        </w:numPr>
        <w:ind w:firstLineChars="0"/>
        <w:contextualSpacing/>
        <w:jc w:val="left"/>
        <w:rPr>
          <w:rFonts w:ascii="宋体" w:hAnsi="宋体"/>
        </w:rPr>
      </w:pPr>
      <w:r>
        <w:rPr>
          <w:rFonts w:hint="eastAsia" w:ascii="宋体" w:hAnsi="宋体"/>
        </w:rPr>
        <w:t>表单设计必须具有版本管理，新发布的表单只在新文件中使用，旧的文件仍使用旧的表单，保证文件前后的一致性。</w:t>
      </w:r>
      <w:r>
        <w:rPr>
          <w:rFonts w:ascii="宋体" w:hAnsi="宋体"/>
        </w:rPr>
        <w:t xml:space="preserve"> </w:t>
      </w:r>
    </w:p>
    <w:p>
      <w:pPr>
        <w:pStyle w:val="20"/>
        <w:widowControl/>
        <w:numPr>
          <w:ilvl w:val="0"/>
          <w:numId w:val="16"/>
        </w:numPr>
        <w:ind w:firstLineChars="0"/>
        <w:contextualSpacing/>
        <w:jc w:val="left"/>
        <w:rPr>
          <w:rFonts w:ascii="宋体" w:hAnsi="宋体"/>
        </w:rPr>
      </w:pPr>
      <w:r>
        <w:rPr>
          <w:rFonts w:hint="eastAsia" w:ascii="宋体" w:hAnsi="宋体"/>
        </w:rPr>
        <w:t>自动识别表单绑定数据字段类型，在运行时刻，用户输入不合法类型时，自动检查并做出提示。</w:t>
      </w:r>
    </w:p>
    <w:p>
      <w:pPr>
        <w:pStyle w:val="20"/>
        <w:widowControl/>
        <w:numPr>
          <w:ilvl w:val="0"/>
          <w:numId w:val="16"/>
        </w:numPr>
        <w:ind w:firstLineChars="0"/>
        <w:contextualSpacing/>
        <w:jc w:val="left"/>
        <w:rPr>
          <w:rFonts w:ascii="宋体" w:hAnsi="宋体"/>
        </w:rPr>
      </w:pPr>
      <w:r>
        <w:rPr>
          <w:rFonts w:hint="eastAsia" w:ascii="宋体" w:hAnsi="宋体"/>
        </w:rPr>
        <w:t>公式缺省值。表单上的控件有时需要在新打开时被缺省置为某个值，如当前用户账号、当前用户所在部门、当前时间等，要求表单能够以公式的方式支持几种情况，实现表单控件缺省值可设置为公式。</w:t>
      </w:r>
      <w:r>
        <w:rPr>
          <w:rFonts w:ascii="宋体" w:hAnsi="宋体"/>
        </w:rPr>
        <w:t xml:space="preserve"> </w:t>
      </w:r>
    </w:p>
    <w:p>
      <w:pPr>
        <w:pStyle w:val="20"/>
        <w:widowControl/>
        <w:numPr>
          <w:ilvl w:val="0"/>
          <w:numId w:val="16"/>
        </w:numPr>
        <w:ind w:firstLineChars="0"/>
        <w:contextualSpacing/>
        <w:jc w:val="left"/>
        <w:rPr>
          <w:rFonts w:ascii="宋体" w:hAnsi="宋体"/>
        </w:rPr>
      </w:pPr>
      <w:r>
        <w:rPr>
          <w:rFonts w:hint="eastAsia" w:ascii="宋体" w:hAnsi="宋体"/>
        </w:rPr>
        <w:t>支持表单字段的合并、查询以及统计分析。提供完善的表单数据管理功能，方便管理员对数据维护时可以方便快捷的进行查询、排障等操作。</w:t>
      </w:r>
      <w:r>
        <w:rPr>
          <w:rFonts w:ascii="宋体" w:hAnsi="宋体"/>
        </w:rPr>
        <w:t xml:space="preserve"> </w:t>
      </w:r>
    </w:p>
    <w:p>
      <w:pPr>
        <w:pStyle w:val="20"/>
        <w:widowControl/>
        <w:numPr>
          <w:ilvl w:val="0"/>
          <w:numId w:val="16"/>
        </w:numPr>
        <w:ind w:firstLineChars="0"/>
        <w:contextualSpacing/>
        <w:jc w:val="left"/>
        <w:rPr>
          <w:rFonts w:ascii="宋体" w:hAnsi="宋体"/>
        </w:rPr>
      </w:pPr>
      <w:r>
        <w:rPr>
          <w:rFonts w:hint="eastAsia" w:ascii="宋体" w:hAnsi="宋体"/>
        </w:rPr>
        <w:t>提供基于移动端设备的表单设计，当表单在手机端显示时内容进行适度简化，满足移动快速审批的需要。</w:t>
      </w:r>
    </w:p>
    <w:p>
      <w:pPr>
        <w:pStyle w:val="6"/>
        <w:rPr>
          <w:sz w:val="24"/>
        </w:rPr>
      </w:pPr>
      <w:r>
        <w:rPr>
          <w:rFonts w:hint="eastAsia"/>
          <w:sz w:val="24"/>
        </w:rPr>
        <w:t>人员管理</w:t>
      </w:r>
    </w:p>
    <w:p>
      <w:pPr>
        <w:pStyle w:val="20"/>
        <w:widowControl/>
        <w:ind w:firstLine="480"/>
        <w:contextualSpacing/>
        <w:jc w:val="left"/>
        <w:rPr>
          <w:rFonts w:ascii="宋体" w:hAnsi="宋体"/>
        </w:rPr>
      </w:pPr>
      <w:r>
        <w:rPr>
          <w:rFonts w:hint="eastAsia" w:ascii="宋体" w:hAnsi="宋体"/>
        </w:rPr>
        <w:t>实现医院人力资源信息管控，维护组织信息、人员信息。、角色信息</w:t>
      </w:r>
    </w:p>
    <w:p>
      <w:pPr>
        <w:pStyle w:val="20"/>
        <w:widowControl/>
        <w:ind w:firstLine="480"/>
        <w:contextualSpacing/>
        <w:jc w:val="left"/>
        <w:rPr>
          <w:rFonts w:ascii="宋体" w:hAnsi="宋体"/>
        </w:rPr>
      </w:pPr>
      <w:r>
        <w:rPr>
          <w:rFonts w:hint="eastAsia" w:ascii="宋体" w:hAnsi="宋体"/>
        </w:rPr>
        <w:t>（1）组织架构。用于录入医院完整的组织架构信息。医院组织架构是非常重要的基础信息，它是审批流程的基础。</w:t>
      </w:r>
    </w:p>
    <w:p>
      <w:pPr>
        <w:pStyle w:val="20"/>
        <w:widowControl/>
        <w:ind w:firstLine="480"/>
        <w:contextualSpacing/>
        <w:jc w:val="left"/>
        <w:rPr>
          <w:rFonts w:ascii="宋体" w:hAnsi="宋体"/>
        </w:rPr>
      </w:pPr>
      <w:r>
        <w:rPr>
          <w:rFonts w:hint="eastAsia" w:ascii="宋体" w:hAnsi="宋体"/>
        </w:rPr>
        <w:t>（2）人事档案。为每位医务人员、行政后勤人员建立详细的个人档案，包括个人基本信息、家庭成员信息、个人履历信息、享受的福利待遇信息、签定的劳动合同信息，以及相关的培训记录、进修记录、岗位轮转记录等等，还可以通过“自定义字段”机制、根据医院实际情况随时灵活添加信息项。支持上传相关附件。</w:t>
      </w:r>
    </w:p>
    <w:p>
      <w:pPr>
        <w:pStyle w:val="20"/>
        <w:widowControl/>
        <w:ind w:firstLine="480"/>
        <w:contextualSpacing/>
        <w:jc w:val="left"/>
        <w:rPr>
          <w:rFonts w:ascii="宋体" w:hAnsi="宋体"/>
        </w:rPr>
      </w:pPr>
      <w:r>
        <w:rPr>
          <w:rFonts w:hint="eastAsia" w:ascii="宋体" w:hAnsi="宋体"/>
        </w:rPr>
        <w:t>（3）角色管理。为了授权、选人、以及灵活确定流程某步骤执行人的需要，系统提供了“角色管理”功能，用于创建及维护角色信息。</w:t>
      </w:r>
    </w:p>
    <w:p>
      <w:pPr>
        <w:pStyle w:val="6"/>
        <w:rPr>
          <w:sz w:val="24"/>
        </w:rPr>
      </w:pPr>
      <w:r>
        <w:rPr>
          <w:sz w:val="24"/>
        </w:rPr>
        <w:t>知识管理</w:t>
      </w:r>
    </w:p>
    <w:p>
      <w:pPr>
        <w:pStyle w:val="20"/>
        <w:widowControl/>
        <w:numPr>
          <w:ilvl w:val="0"/>
          <w:numId w:val="17"/>
        </w:numPr>
        <w:ind w:firstLineChars="0"/>
        <w:contextualSpacing/>
        <w:jc w:val="left"/>
        <w:rPr>
          <w:rFonts w:ascii="宋体" w:hAnsi="宋体"/>
        </w:rPr>
      </w:pPr>
      <w:r>
        <w:rPr>
          <w:rFonts w:hint="eastAsia"/>
        </w:rPr>
        <w:t>▲</w:t>
      </w:r>
      <w:r>
        <w:rPr>
          <w:rFonts w:hint="eastAsia" w:ascii="宋体" w:hAnsi="宋体"/>
        </w:rPr>
        <w:t>根据医院的不同业务，汇集各类有价值的信息，建立分类的医院知识库，形成医院的知识地图，将人员、流程和业务知识紧密集成在一起，达到信息共享、支持管理的目的。系统需提供思维导图、月刊式、传统式、制度式、地图引导式、时间轴多维视图模式。</w:t>
      </w:r>
    </w:p>
    <w:p>
      <w:pPr>
        <w:pStyle w:val="20"/>
        <w:widowControl/>
        <w:numPr>
          <w:ilvl w:val="0"/>
          <w:numId w:val="17"/>
        </w:numPr>
        <w:ind w:firstLineChars="0"/>
        <w:contextualSpacing/>
        <w:jc w:val="left"/>
        <w:rPr>
          <w:rFonts w:ascii="宋体" w:hAnsi="宋体"/>
        </w:rPr>
      </w:pPr>
      <w:r>
        <w:rPr>
          <w:rFonts w:hint="eastAsia" w:ascii="宋体" w:hAnsi="宋体"/>
        </w:rPr>
        <w:t>要求具备</w:t>
      </w:r>
      <w:r>
        <w:rPr>
          <w:rFonts w:ascii="宋体" w:hAnsi="宋体"/>
        </w:rPr>
        <w:t>权限管理功能，</w:t>
      </w:r>
      <w:r>
        <w:rPr>
          <w:rFonts w:hint="eastAsia" w:ascii="宋体" w:hAnsi="宋体"/>
        </w:rPr>
        <w:t>确保</w:t>
      </w:r>
      <w:r>
        <w:rPr>
          <w:rFonts w:ascii="宋体" w:hAnsi="宋体"/>
        </w:rPr>
        <w:t>文档、资料的安全和保密，人员无法</w:t>
      </w:r>
      <w:r>
        <w:rPr>
          <w:rFonts w:hint="eastAsia" w:ascii="宋体" w:hAnsi="宋体"/>
        </w:rPr>
        <w:t>查看</w:t>
      </w:r>
      <w:r>
        <w:rPr>
          <w:rFonts w:ascii="宋体" w:hAnsi="宋体"/>
        </w:rPr>
        <w:t>未经授权的</w:t>
      </w:r>
      <w:r>
        <w:rPr>
          <w:rFonts w:hint="eastAsia" w:ascii="宋体" w:hAnsi="宋体"/>
        </w:rPr>
        <w:t>文档</w:t>
      </w:r>
      <w:r>
        <w:rPr>
          <w:rFonts w:ascii="宋体" w:hAnsi="宋体"/>
        </w:rPr>
        <w:t>内容，未经授权</w:t>
      </w:r>
      <w:r>
        <w:rPr>
          <w:rFonts w:hint="eastAsia" w:ascii="宋体" w:hAnsi="宋体"/>
        </w:rPr>
        <w:t>不可改动或</w:t>
      </w:r>
      <w:r>
        <w:rPr>
          <w:rFonts w:ascii="宋体" w:hAnsi="宋体"/>
        </w:rPr>
        <w:t>删减文件夹。</w:t>
      </w:r>
    </w:p>
    <w:p>
      <w:pPr>
        <w:pStyle w:val="20"/>
        <w:widowControl/>
        <w:numPr>
          <w:ilvl w:val="0"/>
          <w:numId w:val="17"/>
        </w:numPr>
        <w:ind w:firstLineChars="0"/>
        <w:contextualSpacing/>
        <w:jc w:val="left"/>
        <w:rPr>
          <w:rFonts w:ascii="宋体" w:hAnsi="宋体"/>
        </w:rPr>
      </w:pPr>
      <w:r>
        <w:rPr>
          <w:rFonts w:hint="eastAsia" w:ascii="宋体" w:hAnsi="宋体"/>
        </w:rPr>
        <w:t>要求提供</w:t>
      </w:r>
      <w:r>
        <w:rPr>
          <w:rFonts w:ascii="宋体" w:hAnsi="宋体"/>
        </w:rPr>
        <w:t>消息提醒功能，</w:t>
      </w:r>
      <w:r>
        <w:rPr>
          <w:rFonts w:hint="eastAsia" w:ascii="宋体" w:hAnsi="宋体"/>
        </w:rPr>
        <w:t>文档发布、更新或修改事件自动通知有权限的人员。</w:t>
      </w:r>
    </w:p>
    <w:p>
      <w:pPr>
        <w:pStyle w:val="20"/>
        <w:widowControl/>
        <w:numPr>
          <w:ilvl w:val="0"/>
          <w:numId w:val="17"/>
        </w:numPr>
        <w:ind w:firstLineChars="0"/>
        <w:contextualSpacing/>
        <w:jc w:val="left"/>
        <w:rPr>
          <w:rFonts w:ascii="宋体" w:hAnsi="宋体"/>
        </w:rPr>
      </w:pPr>
      <w:r>
        <w:rPr>
          <w:rFonts w:hint="eastAsia" w:ascii="宋体" w:hAnsi="宋体"/>
        </w:rPr>
        <w:t>需</w:t>
      </w:r>
      <w:r>
        <w:rPr>
          <w:rFonts w:ascii="宋体" w:hAnsi="宋体"/>
        </w:rPr>
        <w:t>实现</w:t>
      </w:r>
      <w:r>
        <w:rPr>
          <w:rFonts w:hint="eastAsia" w:ascii="宋体" w:hAnsi="宋体"/>
        </w:rPr>
        <w:t>MS Office文档锁定：被锁定的文档，只有锁定人可以编辑，其他人只有在文档解锁后才能进行修改，锁定机制确保文档的独占性编辑。</w:t>
      </w:r>
    </w:p>
    <w:p>
      <w:pPr>
        <w:pStyle w:val="20"/>
        <w:widowControl/>
        <w:numPr>
          <w:ilvl w:val="0"/>
          <w:numId w:val="17"/>
        </w:numPr>
        <w:ind w:firstLineChars="0"/>
        <w:contextualSpacing/>
        <w:jc w:val="left"/>
        <w:rPr>
          <w:rFonts w:ascii="宋体" w:hAnsi="宋体"/>
        </w:rPr>
      </w:pPr>
      <w:r>
        <w:rPr>
          <w:rFonts w:ascii="宋体" w:hAnsi="宋体"/>
        </w:rPr>
        <w:t>为实现院内知识共享学习，系统需提供知识问答功能，用户可通过问答功能发起</w:t>
      </w:r>
      <w:r>
        <w:rPr>
          <w:rFonts w:hint="eastAsia" w:ascii="宋体" w:hAnsi="宋体"/>
        </w:rPr>
        <w:t>问题，可上传附件；其他用户可在线进行回答、点赞。系统需提供统计个人发起的问题数、回答数、赞同数。</w:t>
      </w:r>
    </w:p>
    <w:p>
      <w:pPr>
        <w:pStyle w:val="6"/>
        <w:rPr>
          <w:sz w:val="24"/>
        </w:rPr>
      </w:pPr>
      <w:r>
        <w:rPr>
          <w:sz w:val="24"/>
        </w:rPr>
        <w:t>系统维护</w:t>
      </w:r>
    </w:p>
    <w:p>
      <w:pPr>
        <w:pStyle w:val="20"/>
        <w:widowControl/>
        <w:numPr>
          <w:ilvl w:val="0"/>
          <w:numId w:val="18"/>
        </w:numPr>
        <w:ind w:firstLineChars="0"/>
        <w:contextualSpacing/>
        <w:jc w:val="left"/>
        <w:outlineLvl w:val="3"/>
        <w:rPr>
          <w:rFonts w:ascii="宋体" w:hAnsi="宋体"/>
        </w:rPr>
      </w:pPr>
      <w:r>
        <w:rPr>
          <w:rFonts w:hint="eastAsia" w:ascii="宋体" w:hAnsi="宋体"/>
        </w:rPr>
        <w:t>个人</w:t>
      </w:r>
      <w:r>
        <w:rPr>
          <w:rFonts w:ascii="宋体" w:hAnsi="宋体"/>
        </w:rPr>
        <w:t>设置</w:t>
      </w:r>
    </w:p>
    <w:p>
      <w:pPr>
        <w:pStyle w:val="20"/>
        <w:widowControl/>
        <w:ind w:firstLine="424" w:firstLineChars="177"/>
        <w:contextualSpacing/>
        <w:jc w:val="left"/>
        <w:rPr>
          <w:rFonts w:ascii="宋体" w:hAnsi="宋体"/>
          <w:szCs w:val="24"/>
        </w:rPr>
      </w:pPr>
      <w:r>
        <w:rPr>
          <w:rFonts w:hint="eastAsia" w:ascii="宋体" w:hAnsi="宋体"/>
          <w:szCs w:val="24"/>
        </w:rPr>
        <w:t>密码设置、个人信息设置、常用联系人（人员分组）设置、授权委托、快捷方式等。</w:t>
      </w:r>
    </w:p>
    <w:p>
      <w:pPr>
        <w:pStyle w:val="20"/>
        <w:widowControl/>
        <w:numPr>
          <w:ilvl w:val="0"/>
          <w:numId w:val="18"/>
        </w:numPr>
        <w:ind w:firstLineChars="0"/>
        <w:contextualSpacing/>
        <w:jc w:val="left"/>
        <w:outlineLvl w:val="3"/>
        <w:rPr>
          <w:rFonts w:ascii="宋体" w:hAnsi="宋体"/>
        </w:rPr>
      </w:pPr>
      <w:r>
        <w:rPr>
          <w:rFonts w:hint="eastAsia" w:ascii="宋体" w:hAnsi="宋体"/>
        </w:rPr>
        <w:t>安全管理</w:t>
      </w:r>
    </w:p>
    <w:p>
      <w:pPr>
        <w:pStyle w:val="20"/>
        <w:widowControl/>
        <w:ind w:firstLine="424" w:firstLineChars="177"/>
        <w:contextualSpacing/>
        <w:jc w:val="left"/>
        <w:rPr>
          <w:rFonts w:ascii="宋体" w:hAnsi="宋体"/>
          <w:szCs w:val="24"/>
        </w:rPr>
      </w:pPr>
      <w:r>
        <w:rPr>
          <w:rFonts w:hint="eastAsia" w:ascii="宋体" w:hAnsi="宋体"/>
          <w:szCs w:val="24"/>
        </w:rPr>
        <w:t>可对安全方面的后台参数进行设置。包括</w:t>
      </w:r>
      <w:r>
        <w:rPr>
          <w:rFonts w:ascii="宋体" w:hAnsi="宋体"/>
          <w:szCs w:val="24"/>
        </w:rPr>
        <w:t>：</w:t>
      </w:r>
      <w:r>
        <w:rPr>
          <w:rFonts w:hint="eastAsia" w:ascii="宋体" w:hAnsi="宋体"/>
          <w:szCs w:val="24"/>
        </w:rPr>
        <w:t>安全策略设置、验证密码、身份认证设置、登录日志、操作日志、审计管理。</w:t>
      </w:r>
    </w:p>
    <w:p>
      <w:pPr>
        <w:pStyle w:val="20"/>
        <w:widowControl/>
        <w:numPr>
          <w:ilvl w:val="0"/>
          <w:numId w:val="18"/>
        </w:numPr>
        <w:ind w:firstLineChars="0"/>
        <w:contextualSpacing/>
        <w:jc w:val="left"/>
        <w:outlineLvl w:val="3"/>
        <w:rPr>
          <w:rFonts w:ascii="宋体" w:hAnsi="宋体"/>
        </w:rPr>
      </w:pPr>
      <w:r>
        <w:rPr>
          <w:rFonts w:hint="eastAsia" w:ascii="宋体" w:hAnsi="宋体"/>
        </w:rPr>
        <w:t>后台</w:t>
      </w:r>
      <w:r>
        <w:rPr>
          <w:rFonts w:ascii="宋体" w:hAnsi="宋体"/>
        </w:rPr>
        <w:t>管理</w:t>
      </w:r>
    </w:p>
    <w:p>
      <w:pPr>
        <w:pStyle w:val="20"/>
        <w:widowControl/>
        <w:ind w:firstLine="424" w:firstLineChars="177"/>
        <w:contextualSpacing/>
        <w:jc w:val="left"/>
        <w:rPr>
          <w:rFonts w:ascii="宋体" w:hAnsi="宋体"/>
          <w:szCs w:val="24"/>
        </w:rPr>
      </w:pPr>
      <w:r>
        <w:rPr>
          <w:rFonts w:hint="eastAsia" w:ascii="宋体" w:hAnsi="宋体"/>
          <w:szCs w:val="24"/>
        </w:rPr>
        <w:t>可</w:t>
      </w:r>
      <w:r>
        <w:rPr>
          <w:rFonts w:ascii="宋体" w:hAnsi="宋体"/>
          <w:szCs w:val="24"/>
        </w:rPr>
        <w:t>对</w:t>
      </w:r>
      <w:r>
        <w:rPr>
          <w:rFonts w:hint="eastAsia" w:ascii="宋体" w:hAnsi="宋体"/>
          <w:szCs w:val="24"/>
        </w:rPr>
        <w:t>系统的基础数据、基础参数进行后台设置。如：机构/部门设置、功能模块初始化、系统模板设置、权限管理、范围管理、定时服务、配额管理、附件空间管理等。</w:t>
      </w:r>
    </w:p>
    <w:p>
      <w:pPr>
        <w:pStyle w:val="5"/>
        <w:numPr>
          <w:ilvl w:val="0"/>
          <w:numId w:val="7"/>
        </w:numPr>
        <w:outlineLvl w:val="2"/>
      </w:pPr>
      <w:r>
        <w:t>移动端需求</w:t>
      </w:r>
    </w:p>
    <w:p>
      <w:pPr>
        <w:pStyle w:val="6"/>
        <w:outlineLvl w:val="3"/>
        <w:rPr>
          <w:sz w:val="24"/>
        </w:rPr>
      </w:pPr>
      <w:r>
        <w:rPr>
          <w:rFonts w:hint="eastAsia"/>
          <w:sz w:val="24"/>
        </w:rPr>
        <w:t>企业微信</w:t>
      </w:r>
      <w:r>
        <w:rPr>
          <w:sz w:val="24"/>
        </w:rPr>
        <w:t>与系统互联互通</w:t>
      </w:r>
    </w:p>
    <w:p>
      <w:pPr>
        <w:pStyle w:val="20"/>
        <w:widowControl/>
        <w:numPr>
          <w:ilvl w:val="0"/>
          <w:numId w:val="19"/>
        </w:numPr>
        <w:ind w:left="426" w:firstLineChars="0"/>
        <w:contextualSpacing/>
        <w:jc w:val="left"/>
        <w:rPr>
          <w:rFonts w:ascii="宋体" w:hAnsi="宋体"/>
          <w:szCs w:val="24"/>
        </w:rPr>
      </w:pPr>
      <w:r>
        <w:rPr>
          <w:rFonts w:hint="eastAsia"/>
        </w:rPr>
        <w:t>▲</w:t>
      </w:r>
      <w:r>
        <w:rPr>
          <w:rFonts w:hint="eastAsia" w:ascii="宋体" w:hAnsi="宋体"/>
          <w:szCs w:val="24"/>
        </w:rPr>
        <w:t>企业微信端需与桌面端无缝融合，实现同一套组织架构，系统用户和企业微信用户统一管理；</w:t>
      </w:r>
    </w:p>
    <w:p>
      <w:pPr>
        <w:pStyle w:val="20"/>
        <w:widowControl/>
        <w:numPr>
          <w:ilvl w:val="0"/>
          <w:numId w:val="19"/>
        </w:numPr>
        <w:ind w:left="426" w:firstLineChars="0"/>
        <w:contextualSpacing/>
        <w:jc w:val="left"/>
        <w:outlineLvl w:val="3"/>
        <w:rPr>
          <w:rFonts w:ascii="宋体" w:hAnsi="宋体"/>
          <w:szCs w:val="24"/>
        </w:rPr>
      </w:pPr>
      <w:r>
        <w:rPr>
          <w:rFonts w:hint="eastAsia" w:ascii="宋体" w:hAnsi="宋体"/>
          <w:szCs w:val="24"/>
        </w:rPr>
        <w:t>系统的待办消息可以通过企业微信推送提醒；</w:t>
      </w:r>
    </w:p>
    <w:p>
      <w:pPr>
        <w:pStyle w:val="20"/>
        <w:widowControl/>
        <w:numPr>
          <w:ilvl w:val="0"/>
          <w:numId w:val="19"/>
        </w:numPr>
        <w:ind w:left="426" w:firstLineChars="0"/>
        <w:contextualSpacing/>
        <w:jc w:val="left"/>
        <w:rPr>
          <w:rFonts w:ascii="宋体" w:hAnsi="宋体"/>
          <w:szCs w:val="24"/>
        </w:rPr>
      </w:pPr>
      <w:r>
        <w:rPr>
          <w:rFonts w:hint="eastAsia" w:ascii="宋体" w:hAnsi="宋体"/>
          <w:szCs w:val="24"/>
        </w:rPr>
        <w:t>桌面端的流程审批信息、通知公告信息、公文信息、传阅信息、统计报表等数据都可以与企业微信实时同步。</w:t>
      </w:r>
    </w:p>
    <w:p>
      <w:pPr>
        <w:pStyle w:val="6"/>
        <w:outlineLvl w:val="4"/>
        <w:rPr>
          <w:sz w:val="24"/>
        </w:rPr>
      </w:pPr>
      <w:r>
        <w:rPr>
          <w:rFonts w:hint="eastAsia"/>
          <w:sz w:val="24"/>
        </w:rPr>
        <w:t>移动门户</w:t>
      </w:r>
    </w:p>
    <w:p>
      <w:pPr>
        <w:spacing w:line="360" w:lineRule="auto"/>
        <w:rPr>
          <w:sz w:val="24"/>
          <w:szCs w:val="32"/>
        </w:rPr>
      </w:pPr>
      <w:r>
        <w:rPr>
          <w:sz w:val="24"/>
          <w:szCs w:val="32"/>
        </w:rPr>
        <w:t>（1）支持在移动端上按已设定的门户频道查看消息和通知公告；</w:t>
      </w:r>
    </w:p>
    <w:p>
      <w:pPr>
        <w:spacing w:line="360" w:lineRule="auto"/>
        <w:rPr>
          <w:sz w:val="24"/>
          <w:szCs w:val="32"/>
        </w:rPr>
      </w:pPr>
      <w:r>
        <w:rPr>
          <w:sz w:val="24"/>
          <w:szCs w:val="32"/>
        </w:rPr>
        <w:t>（2）需统计已读人数和未读人数及详细名单；</w:t>
      </w:r>
    </w:p>
    <w:p>
      <w:pPr>
        <w:spacing w:line="360" w:lineRule="auto"/>
        <w:rPr>
          <w:sz w:val="24"/>
          <w:szCs w:val="32"/>
        </w:rPr>
      </w:pPr>
      <w:r>
        <w:rPr>
          <w:sz w:val="24"/>
          <w:szCs w:val="32"/>
        </w:rPr>
        <w:t>（3）对未读人员可再次发起提醒通知；</w:t>
      </w:r>
    </w:p>
    <w:p>
      <w:pPr>
        <w:spacing w:line="360" w:lineRule="auto"/>
        <w:rPr>
          <w:sz w:val="24"/>
          <w:szCs w:val="32"/>
        </w:rPr>
      </w:pPr>
      <w:r>
        <w:rPr>
          <w:sz w:val="24"/>
          <w:szCs w:val="32"/>
        </w:rPr>
        <w:t>（4）可在移动端上发布新的通知公告，可选择发布的门户频道；</w:t>
      </w:r>
    </w:p>
    <w:p>
      <w:pPr>
        <w:pStyle w:val="6"/>
        <w:rPr>
          <w:sz w:val="24"/>
        </w:rPr>
      </w:pPr>
      <w:r>
        <w:rPr>
          <w:rFonts w:hint="eastAsia"/>
          <w:sz w:val="24"/>
        </w:rPr>
        <w:t>移动传阅</w:t>
      </w:r>
    </w:p>
    <w:p>
      <w:pPr>
        <w:pStyle w:val="20"/>
        <w:widowControl/>
        <w:numPr>
          <w:ilvl w:val="0"/>
          <w:numId w:val="20"/>
        </w:numPr>
        <w:ind w:left="426" w:hanging="426" w:firstLineChars="0"/>
        <w:contextualSpacing/>
        <w:jc w:val="left"/>
        <w:rPr>
          <w:rFonts w:ascii="宋体" w:hAnsi="宋体"/>
          <w:szCs w:val="24"/>
        </w:rPr>
      </w:pPr>
      <w:r>
        <w:rPr>
          <w:rFonts w:hint="eastAsia" w:ascii="宋体" w:hAnsi="宋体"/>
          <w:szCs w:val="24"/>
        </w:rPr>
        <w:t>可在移动端上接收、查看发起文件传阅，发表意见或评论并进行确认；</w:t>
      </w:r>
    </w:p>
    <w:p>
      <w:pPr>
        <w:pStyle w:val="20"/>
        <w:widowControl/>
        <w:numPr>
          <w:ilvl w:val="0"/>
          <w:numId w:val="20"/>
        </w:numPr>
        <w:ind w:left="426" w:firstLineChars="0"/>
        <w:contextualSpacing/>
        <w:jc w:val="left"/>
        <w:outlineLvl w:val="3"/>
        <w:rPr>
          <w:rFonts w:ascii="宋体" w:hAnsi="宋体"/>
          <w:szCs w:val="24"/>
        </w:rPr>
      </w:pPr>
      <w:r>
        <w:rPr>
          <w:rFonts w:hint="eastAsia" w:ascii="宋体" w:hAnsi="宋体"/>
          <w:szCs w:val="24"/>
        </w:rPr>
        <w:t>可统计传阅已读和未读用户数；</w:t>
      </w:r>
    </w:p>
    <w:p>
      <w:pPr>
        <w:pStyle w:val="20"/>
        <w:widowControl/>
        <w:numPr>
          <w:ilvl w:val="0"/>
          <w:numId w:val="20"/>
        </w:numPr>
        <w:ind w:left="426" w:firstLineChars="0"/>
        <w:contextualSpacing/>
        <w:jc w:val="left"/>
        <w:rPr>
          <w:rFonts w:ascii="宋体" w:hAnsi="宋体"/>
          <w:szCs w:val="24"/>
        </w:rPr>
      </w:pPr>
      <w:r>
        <w:rPr>
          <w:rFonts w:hint="eastAsia" w:ascii="宋体" w:hAnsi="宋体"/>
          <w:szCs w:val="24"/>
        </w:rPr>
        <w:t>可在移动端上发送语音、图片、文字、视频等多媒体内容，并可在移动端上播放；</w:t>
      </w:r>
    </w:p>
    <w:p>
      <w:pPr>
        <w:pStyle w:val="20"/>
        <w:widowControl/>
        <w:numPr>
          <w:ilvl w:val="0"/>
          <w:numId w:val="20"/>
        </w:numPr>
        <w:ind w:left="426" w:firstLineChars="0"/>
        <w:contextualSpacing/>
        <w:jc w:val="left"/>
        <w:outlineLvl w:val="3"/>
        <w:rPr>
          <w:rFonts w:ascii="宋体" w:hAnsi="宋体"/>
          <w:szCs w:val="24"/>
        </w:rPr>
      </w:pPr>
      <w:r>
        <w:rPr>
          <w:rFonts w:hint="eastAsia" w:ascii="宋体" w:hAnsi="宋体"/>
          <w:szCs w:val="24"/>
        </w:rPr>
        <w:t>对于重要的传阅可添加关注。</w:t>
      </w:r>
    </w:p>
    <w:p>
      <w:pPr>
        <w:pStyle w:val="6"/>
        <w:outlineLvl w:val="4"/>
        <w:rPr>
          <w:sz w:val="24"/>
        </w:rPr>
      </w:pPr>
      <w:r>
        <w:rPr>
          <w:rFonts w:hint="eastAsia"/>
          <w:sz w:val="24"/>
        </w:rPr>
        <w:t>移动流程</w:t>
      </w:r>
    </w:p>
    <w:p>
      <w:pPr>
        <w:pStyle w:val="21"/>
        <w:numPr>
          <w:ilvl w:val="0"/>
          <w:numId w:val="21"/>
        </w:numPr>
        <w:spacing w:line="360" w:lineRule="auto"/>
        <w:rPr>
          <w:sz w:val="24"/>
          <w:szCs w:val="24"/>
        </w:rPr>
      </w:pPr>
      <w:r>
        <w:rPr>
          <w:sz w:val="24"/>
          <w:szCs w:val="24"/>
        </w:rPr>
        <w:t>企业微信端上需提供待审批、已处理、已结束、已提交的流程看板；</w:t>
      </w:r>
    </w:p>
    <w:p>
      <w:pPr>
        <w:pStyle w:val="20"/>
        <w:widowControl/>
        <w:numPr>
          <w:ilvl w:val="0"/>
          <w:numId w:val="21"/>
        </w:numPr>
        <w:ind w:firstLineChars="0"/>
        <w:contextualSpacing/>
        <w:jc w:val="left"/>
        <w:rPr>
          <w:rFonts w:ascii="宋体" w:hAnsi="宋体"/>
          <w:szCs w:val="24"/>
        </w:rPr>
      </w:pPr>
      <w:r>
        <w:rPr>
          <w:rFonts w:hint="eastAsia" w:ascii="宋体" w:hAnsi="宋体"/>
          <w:szCs w:val="24"/>
        </w:rPr>
        <w:t>用户可直接在企业微信端上按已设置的流程分类发起流程申请；</w:t>
      </w:r>
    </w:p>
    <w:p>
      <w:pPr>
        <w:pStyle w:val="20"/>
        <w:widowControl/>
        <w:numPr>
          <w:ilvl w:val="0"/>
          <w:numId w:val="21"/>
        </w:numPr>
        <w:ind w:firstLineChars="0"/>
        <w:contextualSpacing/>
        <w:jc w:val="left"/>
        <w:rPr>
          <w:rFonts w:ascii="宋体" w:hAnsi="宋体"/>
          <w:szCs w:val="24"/>
        </w:rPr>
      </w:pPr>
      <w:r>
        <w:rPr>
          <w:rFonts w:hint="eastAsia" w:ascii="宋体" w:hAnsi="宋体"/>
          <w:szCs w:val="24"/>
        </w:rPr>
        <w:t>对接收到的流程可进行批复处理，并查看流程处理情况；</w:t>
      </w:r>
    </w:p>
    <w:p>
      <w:pPr>
        <w:pStyle w:val="20"/>
        <w:widowControl/>
        <w:numPr>
          <w:ilvl w:val="0"/>
          <w:numId w:val="21"/>
        </w:numPr>
        <w:ind w:firstLineChars="0"/>
        <w:contextualSpacing/>
        <w:jc w:val="left"/>
        <w:rPr>
          <w:rFonts w:ascii="宋体" w:hAnsi="宋体"/>
          <w:szCs w:val="24"/>
        </w:rPr>
      </w:pPr>
      <w:r>
        <w:rPr>
          <w:rFonts w:hint="eastAsia" w:ascii="宋体" w:hAnsi="宋体"/>
          <w:szCs w:val="24"/>
        </w:rPr>
        <w:t>在审批流转过程中可发起讨论，添加语音、图片内容。</w:t>
      </w:r>
    </w:p>
    <w:p>
      <w:pPr>
        <w:pStyle w:val="21"/>
        <w:numPr>
          <w:ilvl w:val="0"/>
          <w:numId w:val="21"/>
        </w:numPr>
        <w:spacing w:line="360" w:lineRule="auto"/>
        <w:rPr>
          <w:rFonts w:ascii="宋体" w:hAnsi="宋体"/>
          <w:kern w:val="2"/>
          <w:sz w:val="24"/>
          <w:szCs w:val="24"/>
        </w:rPr>
      </w:pPr>
      <w:r>
        <w:rPr>
          <w:rFonts w:hint="eastAsia" w:ascii="宋体" w:hAnsi="宋体"/>
          <w:kern w:val="2"/>
          <w:sz w:val="24"/>
          <w:szCs w:val="24"/>
        </w:rPr>
        <w:t>对于多列表单，系统应能支持自动适应手机方式自动重排成单列瀑布式，方便手机显示；对于有特殊需要的表单，可支持手机视图，在手机端显示时内容进行适度简化，满足移动快速审批的需要。</w:t>
      </w:r>
    </w:p>
    <w:p>
      <w:pPr>
        <w:pStyle w:val="21"/>
        <w:numPr>
          <w:ilvl w:val="0"/>
          <w:numId w:val="21"/>
        </w:numPr>
        <w:spacing w:line="360" w:lineRule="auto"/>
        <w:outlineLvl w:val="3"/>
        <w:rPr>
          <w:rFonts w:ascii="宋体" w:hAnsi="宋体"/>
          <w:kern w:val="2"/>
          <w:sz w:val="24"/>
          <w:szCs w:val="24"/>
        </w:rPr>
      </w:pPr>
      <w:r>
        <w:rPr>
          <w:rFonts w:ascii="宋体" w:hAnsi="宋体"/>
          <w:kern w:val="2"/>
          <w:sz w:val="24"/>
          <w:szCs w:val="24"/>
        </w:rPr>
        <w:t>在移动端审批可加入手写签批效果</w:t>
      </w:r>
      <w:r>
        <w:rPr>
          <w:rFonts w:hint="eastAsia" w:ascii="宋体" w:hAnsi="宋体"/>
          <w:kern w:val="2"/>
          <w:sz w:val="24"/>
          <w:szCs w:val="24"/>
        </w:rPr>
        <w:t>。</w:t>
      </w:r>
    </w:p>
    <w:p>
      <w:pPr>
        <w:pStyle w:val="6"/>
        <w:outlineLvl w:val="4"/>
        <w:rPr>
          <w:sz w:val="24"/>
        </w:rPr>
      </w:pPr>
      <w:r>
        <w:rPr>
          <w:rFonts w:hint="eastAsia"/>
          <w:sz w:val="24"/>
        </w:rPr>
        <w:t>员工自助</w:t>
      </w:r>
    </w:p>
    <w:p>
      <w:pPr>
        <w:spacing w:line="360" w:lineRule="auto"/>
        <w:rPr>
          <w:rFonts w:ascii="宋体" w:hAnsi="宋体"/>
          <w:sz w:val="24"/>
        </w:rPr>
      </w:pPr>
      <w:r>
        <w:rPr>
          <w:rFonts w:ascii="宋体" w:hAnsi="宋体"/>
          <w:sz w:val="24"/>
        </w:rPr>
        <w:t>（1）薪资查询</w:t>
      </w:r>
      <w:r>
        <w:rPr>
          <w:rFonts w:hint="eastAsia" w:ascii="宋体" w:hAnsi="宋体"/>
          <w:sz w:val="24"/>
        </w:rPr>
        <w:t>。</w:t>
      </w:r>
      <w:r>
        <w:rPr>
          <w:rFonts w:ascii="宋体" w:hAnsi="宋体"/>
          <w:sz w:val="24"/>
        </w:rPr>
        <w:t>全体人员可以通过移动端查阅本人的工资发放明细；工资单需具备水印效果。</w:t>
      </w:r>
    </w:p>
    <w:p>
      <w:pPr>
        <w:spacing w:line="360" w:lineRule="auto"/>
        <w:rPr>
          <w:rFonts w:ascii="宋体" w:hAnsi="宋体"/>
          <w:sz w:val="24"/>
        </w:rPr>
      </w:pPr>
      <w:r>
        <w:rPr>
          <w:rFonts w:ascii="宋体" w:hAnsi="宋体"/>
          <w:sz w:val="24"/>
        </w:rPr>
        <w:t>（2）</w:t>
      </w:r>
      <w:r>
        <w:rPr>
          <w:rFonts w:hint="eastAsia" w:ascii="宋体" w:hAnsi="宋体"/>
          <w:sz w:val="24"/>
        </w:rPr>
        <w:t>排班查询。全体人员可以在企业微信上查询本人的排班情况，并发出调班请求。</w:t>
      </w:r>
    </w:p>
    <w:p>
      <w:pPr>
        <w:spacing w:line="360" w:lineRule="auto"/>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日程发起和查询。办公室人员可在移动端上查询本人的工作安排、建立个人日程。</w:t>
      </w:r>
    </w:p>
    <w:p>
      <w:pPr>
        <w:pStyle w:val="6"/>
        <w:rPr>
          <w:sz w:val="24"/>
        </w:rPr>
      </w:pPr>
      <w:r>
        <w:rPr>
          <w:rFonts w:hint="eastAsia"/>
          <w:sz w:val="24"/>
        </w:rPr>
        <w:t>问卷调查</w:t>
      </w:r>
    </w:p>
    <w:p>
      <w:pPr>
        <w:pStyle w:val="20"/>
        <w:widowControl/>
        <w:numPr>
          <w:ilvl w:val="0"/>
          <w:numId w:val="22"/>
        </w:numPr>
        <w:ind w:left="426" w:firstLineChars="0"/>
        <w:contextualSpacing/>
        <w:jc w:val="left"/>
        <w:rPr>
          <w:rFonts w:ascii="宋体" w:hAnsi="宋体"/>
          <w:szCs w:val="24"/>
        </w:rPr>
      </w:pPr>
      <w:r>
        <w:rPr>
          <w:rFonts w:hint="eastAsia" w:ascii="宋体" w:hAnsi="宋体"/>
          <w:szCs w:val="24"/>
        </w:rPr>
        <w:t>支持在移动端进行问卷的在线填写；</w:t>
      </w:r>
    </w:p>
    <w:p>
      <w:pPr>
        <w:pStyle w:val="20"/>
        <w:widowControl/>
        <w:numPr>
          <w:ilvl w:val="0"/>
          <w:numId w:val="22"/>
        </w:numPr>
        <w:ind w:left="426" w:firstLineChars="0"/>
        <w:contextualSpacing/>
        <w:jc w:val="left"/>
        <w:rPr>
          <w:rFonts w:ascii="宋体" w:hAnsi="宋体"/>
          <w:szCs w:val="24"/>
        </w:rPr>
      </w:pPr>
      <w:r>
        <w:rPr>
          <w:rFonts w:hint="eastAsia" w:ascii="宋体" w:hAnsi="宋体"/>
          <w:szCs w:val="24"/>
        </w:rPr>
        <w:t>支持在移动端查看问卷调查统计结果；</w:t>
      </w:r>
    </w:p>
    <w:p>
      <w:pPr>
        <w:pStyle w:val="20"/>
        <w:widowControl/>
        <w:numPr>
          <w:ilvl w:val="0"/>
          <w:numId w:val="22"/>
        </w:numPr>
        <w:ind w:left="426" w:firstLineChars="0"/>
        <w:contextualSpacing/>
        <w:jc w:val="left"/>
        <w:rPr>
          <w:rFonts w:ascii="宋体" w:hAnsi="宋体"/>
          <w:szCs w:val="24"/>
        </w:rPr>
      </w:pPr>
      <w:r>
        <w:rPr>
          <w:rFonts w:hint="eastAsia" w:ascii="宋体" w:hAnsi="宋体"/>
          <w:szCs w:val="24"/>
        </w:rPr>
        <w:t>问卷调查统计结果需提供有效填写人数的统计。</w:t>
      </w:r>
    </w:p>
    <w:p>
      <w:pPr>
        <w:pStyle w:val="6"/>
        <w:rPr>
          <w:sz w:val="24"/>
        </w:rPr>
      </w:pPr>
      <w:r>
        <w:rPr>
          <w:rFonts w:hint="eastAsia"/>
          <w:sz w:val="24"/>
        </w:rPr>
        <w:t>会议</w:t>
      </w:r>
      <w:r>
        <w:rPr>
          <w:sz w:val="24"/>
        </w:rPr>
        <w:t>管理</w:t>
      </w:r>
    </w:p>
    <w:p>
      <w:pPr>
        <w:pStyle w:val="20"/>
        <w:widowControl/>
        <w:numPr>
          <w:ilvl w:val="0"/>
          <w:numId w:val="23"/>
        </w:numPr>
        <w:ind w:firstLineChars="0"/>
        <w:contextualSpacing/>
        <w:jc w:val="left"/>
        <w:rPr>
          <w:rFonts w:ascii="宋体" w:hAnsi="宋体"/>
        </w:rPr>
      </w:pPr>
      <w:r>
        <w:rPr>
          <w:rFonts w:hint="eastAsia" w:ascii="宋体" w:hAnsi="宋体"/>
        </w:rPr>
        <w:t>可在移动端上查看个人待参加的会议、已预约的会议、历史会议内容；</w:t>
      </w:r>
    </w:p>
    <w:p>
      <w:pPr>
        <w:pStyle w:val="20"/>
        <w:widowControl/>
        <w:numPr>
          <w:ilvl w:val="0"/>
          <w:numId w:val="23"/>
        </w:numPr>
        <w:ind w:firstLineChars="0"/>
        <w:contextualSpacing/>
        <w:jc w:val="left"/>
        <w:outlineLvl w:val="3"/>
        <w:rPr>
          <w:rFonts w:ascii="宋体" w:hAnsi="宋体"/>
        </w:rPr>
      </w:pPr>
      <w:r>
        <w:rPr>
          <w:rFonts w:hint="eastAsia" w:ascii="宋体" w:hAnsi="宋体"/>
        </w:rPr>
        <w:t>可在移动端上按时段筛选空闲会议室，并发起会议预约；</w:t>
      </w:r>
    </w:p>
    <w:p>
      <w:pPr>
        <w:pStyle w:val="20"/>
        <w:widowControl/>
        <w:numPr>
          <w:ilvl w:val="0"/>
          <w:numId w:val="23"/>
        </w:numPr>
        <w:ind w:firstLineChars="0"/>
        <w:contextualSpacing/>
        <w:jc w:val="left"/>
        <w:rPr>
          <w:rFonts w:ascii="宋体" w:hAnsi="宋体"/>
        </w:rPr>
      </w:pPr>
      <w:r>
        <w:rPr>
          <w:rFonts w:hint="eastAsia" w:ascii="宋体" w:hAnsi="宋体"/>
        </w:rPr>
        <w:t>会议预约需显示会议室的已预约时间段、容纳人数、会议室具体地址等信息；</w:t>
      </w:r>
    </w:p>
    <w:p>
      <w:pPr>
        <w:pStyle w:val="20"/>
        <w:widowControl/>
        <w:numPr>
          <w:ilvl w:val="0"/>
          <w:numId w:val="23"/>
        </w:numPr>
        <w:ind w:firstLineChars="0"/>
        <w:contextualSpacing/>
        <w:jc w:val="left"/>
        <w:rPr>
          <w:rFonts w:ascii="宋体" w:hAnsi="宋体"/>
        </w:rPr>
      </w:pPr>
      <w:r>
        <w:rPr>
          <w:rFonts w:hint="eastAsia" w:ascii="宋体" w:hAnsi="宋体"/>
        </w:rPr>
        <w:t>会议预约流程需提供会议类型选择、是否需要投票、提醒时间、需要物资、会议议题内容；</w:t>
      </w:r>
    </w:p>
    <w:p>
      <w:pPr>
        <w:pStyle w:val="4"/>
        <w:numPr>
          <w:ilvl w:val="0"/>
          <w:numId w:val="4"/>
        </w:numPr>
        <w:ind w:left="0" w:firstLine="0"/>
        <w:outlineLvl w:val="1"/>
      </w:pPr>
      <w:r>
        <w:rPr>
          <w:rFonts w:hint="eastAsia"/>
        </w:rPr>
        <w:t>其它</w:t>
      </w:r>
      <w:r>
        <w:t>要求</w:t>
      </w:r>
      <w:bookmarkEnd w:id="27"/>
    </w:p>
    <w:bookmarkEnd w:id="24"/>
    <w:p>
      <w:pPr>
        <w:pStyle w:val="5"/>
        <w:outlineLvl w:val="2"/>
      </w:pPr>
      <w:bookmarkStart w:id="28" w:name="_Toc262893313"/>
      <w:r>
        <w:rPr>
          <w:rFonts w:hint="eastAsia"/>
        </w:rPr>
        <w:t>工期要求</w:t>
      </w:r>
      <w:bookmarkEnd w:id="28"/>
    </w:p>
    <w:p>
      <w:pPr>
        <w:spacing w:line="360" w:lineRule="auto"/>
        <w:ind w:firstLine="420"/>
        <w:rPr>
          <w:rFonts w:ascii="宋体" w:hAnsi="宋体" w:cs="宋体"/>
          <w:sz w:val="24"/>
        </w:rPr>
      </w:pPr>
      <w:r>
        <w:rPr>
          <w:rFonts w:hint="eastAsia" w:ascii="宋体" w:hAnsi="宋体" w:cs="宋体"/>
          <w:sz w:val="24"/>
        </w:rPr>
        <w:t>合同签订</w:t>
      </w:r>
      <w:r>
        <w:rPr>
          <w:rFonts w:ascii="宋体" w:hAnsi="宋体" w:cs="宋体"/>
          <w:sz w:val="24"/>
          <w:highlight w:val="none"/>
          <w:u w:val="single"/>
        </w:rPr>
        <w:t>3</w:t>
      </w:r>
      <w:r>
        <w:rPr>
          <w:rFonts w:hint="eastAsia" w:ascii="宋体" w:hAnsi="宋体" w:cs="宋体"/>
          <w:sz w:val="24"/>
        </w:rPr>
        <w:t>个月内完成行政综合管理平台的升级实施、培训和验收并交付使用。</w:t>
      </w:r>
    </w:p>
    <w:p>
      <w:pPr>
        <w:pStyle w:val="5"/>
      </w:pPr>
      <w:bookmarkStart w:id="29" w:name="_Toc262893314"/>
      <w:r>
        <w:rPr>
          <w:rFonts w:hint="eastAsia"/>
        </w:rPr>
        <w:t>培训要求</w:t>
      </w:r>
      <w:bookmarkEnd w:id="29"/>
    </w:p>
    <w:p>
      <w:pPr>
        <w:pStyle w:val="19"/>
        <w:spacing w:line="360" w:lineRule="auto"/>
        <w:ind w:firstLine="480"/>
        <w:rPr>
          <w:sz w:val="24"/>
          <w:szCs w:val="24"/>
        </w:rPr>
      </w:pPr>
      <w:r>
        <w:rPr>
          <w:rFonts w:hint="eastAsia"/>
          <w:sz w:val="24"/>
          <w:szCs w:val="24"/>
        </w:rPr>
        <w:t>为了保证投标人所提供的系统能良好运行，要求投标人负责提供有关系统功能、安装、操作、设计、维护和系统开发以及应用软件使用的文档和培训。</w:t>
      </w:r>
    </w:p>
    <w:p>
      <w:pPr>
        <w:pStyle w:val="22"/>
        <w:numPr>
          <w:ilvl w:val="0"/>
          <w:numId w:val="24"/>
        </w:numPr>
        <w:tabs>
          <w:tab w:val="left" w:pos="1200"/>
        </w:tabs>
        <w:adjustRightInd/>
        <w:spacing w:line="360" w:lineRule="auto"/>
        <w:textAlignment w:val="auto"/>
        <w:rPr>
          <w:rFonts w:hAnsi="宋体" w:cs="宋体"/>
          <w:szCs w:val="21"/>
        </w:rPr>
      </w:pPr>
      <w:r>
        <w:rPr>
          <w:rFonts w:hint="eastAsia" w:hAnsi="宋体" w:cs="宋体"/>
          <w:szCs w:val="21"/>
        </w:rPr>
        <w:t>培训：提供对项目组成员、管理层及中层干部，及最终用户的分层次培训。</w:t>
      </w:r>
    </w:p>
    <w:p>
      <w:pPr>
        <w:pStyle w:val="22"/>
        <w:numPr>
          <w:ilvl w:val="0"/>
          <w:numId w:val="24"/>
        </w:numPr>
        <w:tabs>
          <w:tab w:val="left" w:pos="1200"/>
        </w:tabs>
        <w:adjustRightInd/>
        <w:spacing w:line="360" w:lineRule="auto"/>
        <w:textAlignment w:val="auto"/>
        <w:rPr>
          <w:rFonts w:hAnsi="宋体" w:cs="宋体"/>
          <w:szCs w:val="21"/>
        </w:rPr>
      </w:pPr>
      <w:r>
        <w:rPr>
          <w:rFonts w:hint="eastAsia" w:hAnsi="宋体" w:cs="宋体"/>
          <w:szCs w:val="21"/>
        </w:rPr>
        <w:t>培训目标：技术人员经培训后应能熟练地掌握软件的维护工作并能及时排除大部分的软件故障。</w:t>
      </w:r>
    </w:p>
    <w:p>
      <w:pPr>
        <w:pStyle w:val="22"/>
        <w:numPr>
          <w:ilvl w:val="0"/>
          <w:numId w:val="24"/>
        </w:numPr>
        <w:tabs>
          <w:tab w:val="left" w:pos="1200"/>
        </w:tabs>
        <w:adjustRightInd/>
        <w:spacing w:line="360" w:lineRule="auto"/>
        <w:textAlignment w:val="auto"/>
        <w:outlineLvl w:val="2"/>
        <w:rPr>
          <w:rFonts w:hAnsi="宋体" w:cs="宋体"/>
          <w:szCs w:val="21"/>
        </w:rPr>
      </w:pPr>
      <w:r>
        <w:rPr>
          <w:rFonts w:hint="eastAsia" w:hAnsi="宋体" w:cs="宋体"/>
          <w:szCs w:val="21"/>
        </w:rPr>
        <w:t>培训方式和操作使用手册</w:t>
      </w:r>
    </w:p>
    <w:p>
      <w:pPr>
        <w:pStyle w:val="19"/>
        <w:spacing w:line="360" w:lineRule="auto"/>
        <w:ind w:left="424" w:leftChars="202" w:firstLine="360" w:firstLineChars="150"/>
        <w:rPr>
          <w:sz w:val="24"/>
          <w:szCs w:val="24"/>
        </w:rPr>
      </w:pPr>
      <w:r>
        <w:rPr>
          <w:rFonts w:hint="eastAsia"/>
          <w:sz w:val="24"/>
          <w:szCs w:val="24"/>
        </w:rPr>
        <w:t>投标人应提供详细的培训计划。</w:t>
      </w:r>
    </w:p>
    <w:p>
      <w:pPr>
        <w:pStyle w:val="19"/>
        <w:spacing w:line="360" w:lineRule="auto"/>
        <w:ind w:left="424" w:leftChars="202" w:firstLine="360" w:firstLineChars="150"/>
        <w:rPr>
          <w:sz w:val="24"/>
          <w:szCs w:val="24"/>
        </w:rPr>
      </w:pPr>
      <w:r>
        <w:rPr>
          <w:rFonts w:hint="eastAsia"/>
          <w:sz w:val="24"/>
          <w:szCs w:val="24"/>
        </w:rPr>
        <w:t>投标人须提供产品操作手册纸质文件和电子文件，方便用户学习和使用。</w:t>
      </w:r>
    </w:p>
    <w:p>
      <w:pPr>
        <w:pStyle w:val="22"/>
        <w:numPr>
          <w:ilvl w:val="0"/>
          <w:numId w:val="24"/>
        </w:numPr>
        <w:tabs>
          <w:tab w:val="left" w:pos="1200"/>
        </w:tabs>
        <w:adjustRightInd/>
        <w:spacing w:line="360" w:lineRule="auto"/>
        <w:textAlignment w:val="auto"/>
        <w:outlineLvl w:val="2"/>
        <w:rPr>
          <w:rFonts w:hAnsi="宋体" w:cs="宋体"/>
          <w:szCs w:val="21"/>
        </w:rPr>
      </w:pPr>
      <w:r>
        <w:rPr>
          <w:rFonts w:hint="eastAsia" w:hAnsi="宋体" w:cs="宋体"/>
          <w:szCs w:val="21"/>
        </w:rPr>
        <w:t>建立最终用户培训考核制度，规范操作提高效率。</w:t>
      </w:r>
    </w:p>
    <w:p>
      <w:pPr>
        <w:pStyle w:val="5"/>
        <w:outlineLvl w:val="3"/>
      </w:pPr>
      <w:bookmarkStart w:id="30" w:name="_Toc262893315"/>
      <w:r>
        <w:rPr>
          <w:rFonts w:hint="eastAsia"/>
        </w:rPr>
        <w:t>售后服务要求</w:t>
      </w:r>
      <w:bookmarkEnd w:id="30"/>
    </w:p>
    <w:p>
      <w:pPr>
        <w:pStyle w:val="22"/>
        <w:numPr>
          <w:ilvl w:val="0"/>
          <w:numId w:val="25"/>
        </w:numPr>
        <w:tabs>
          <w:tab w:val="left" w:pos="1200"/>
        </w:tabs>
        <w:adjustRightInd/>
        <w:spacing w:line="360" w:lineRule="auto"/>
        <w:textAlignment w:val="auto"/>
        <w:outlineLvl w:val="2"/>
        <w:rPr>
          <w:rFonts w:hAnsi="宋体" w:cs="宋体"/>
          <w:szCs w:val="21"/>
        </w:rPr>
      </w:pPr>
      <w:r>
        <w:rPr>
          <w:rFonts w:hint="eastAsia" w:hAnsi="宋体" w:cs="宋体"/>
          <w:szCs w:val="21"/>
        </w:rPr>
        <w:t>软件维护</w:t>
      </w:r>
    </w:p>
    <w:p>
      <w:pPr>
        <w:pStyle w:val="19"/>
        <w:spacing w:line="360" w:lineRule="auto"/>
        <w:ind w:left="850" w:leftChars="405" w:firstLine="1" w:firstLineChars="0"/>
        <w:rPr>
          <w:sz w:val="24"/>
          <w:szCs w:val="24"/>
        </w:rPr>
      </w:pPr>
      <w:r>
        <w:rPr>
          <w:rFonts w:hint="eastAsia"/>
          <w:sz w:val="24"/>
          <w:szCs w:val="24"/>
        </w:rPr>
        <w:t>投标人所提供的软件产品在安装期、试运转期及最终验收后的保修期内，由于在系统设计、软件BUG上等技术和质量问题而产生故障影响设备正常运转，以及采购方无法处理的主要问题，投标人均应免费提供维护服务，即时解决软件产品存在的各种问题和BUG问题。</w:t>
      </w:r>
    </w:p>
    <w:p>
      <w:pPr>
        <w:pStyle w:val="22"/>
        <w:numPr>
          <w:ilvl w:val="0"/>
          <w:numId w:val="25"/>
        </w:numPr>
        <w:tabs>
          <w:tab w:val="left" w:pos="1200"/>
        </w:tabs>
        <w:adjustRightInd/>
        <w:spacing w:line="360" w:lineRule="auto"/>
        <w:textAlignment w:val="auto"/>
        <w:outlineLvl w:val="2"/>
        <w:rPr>
          <w:rFonts w:hAnsi="宋体" w:cs="宋体"/>
          <w:szCs w:val="21"/>
        </w:rPr>
      </w:pPr>
      <w:r>
        <w:rPr>
          <w:rFonts w:hint="eastAsia" w:hAnsi="宋体" w:cs="宋体"/>
          <w:szCs w:val="21"/>
        </w:rPr>
        <w:t>技术指导及技术支持支援</w:t>
      </w:r>
    </w:p>
    <w:p>
      <w:pPr>
        <w:pStyle w:val="19"/>
        <w:spacing w:line="360" w:lineRule="auto"/>
        <w:ind w:left="850" w:leftChars="405" w:firstLine="2" w:firstLineChars="0"/>
        <w:rPr>
          <w:sz w:val="24"/>
          <w:szCs w:val="24"/>
        </w:rPr>
      </w:pPr>
      <w:r>
        <w:rPr>
          <w:rFonts w:hint="eastAsia"/>
          <w:sz w:val="24"/>
          <w:szCs w:val="24"/>
        </w:rPr>
        <w:t>投标人应为系统正常运行提供技术支持，验收后至少提供</w:t>
      </w:r>
      <w:r>
        <w:rPr>
          <w:sz w:val="24"/>
          <w:szCs w:val="24"/>
          <w:u w:val="single"/>
        </w:rPr>
        <w:t>1</w:t>
      </w:r>
      <w:r>
        <w:rPr>
          <w:rFonts w:hint="eastAsia"/>
          <w:sz w:val="24"/>
          <w:szCs w:val="24"/>
        </w:rPr>
        <w:t>年免费维护服务，提供</w:t>
      </w:r>
      <w:r>
        <w:rPr>
          <w:sz w:val="24"/>
          <w:szCs w:val="24"/>
        </w:rPr>
        <w:t>24</w:t>
      </w:r>
      <w:r>
        <w:rPr>
          <w:rFonts w:hint="eastAsia"/>
          <w:sz w:val="24"/>
          <w:szCs w:val="24"/>
        </w:rPr>
        <w:t>小时的热线支持，在系统发生重大故障时，厂方技术人员应24小时内到达事故现场，并应于48小时内完全解决故障。</w:t>
      </w:r>
    </w:p>
    <w:p>
      <w:pPr>
        <w:pStyle w:val="22"/>
        <w:numPr>
          <w:ilvl w:val="0"/>
          <w:numId w:val="25"/>
        </w:numPr>
        <w:tabs>
          <w:tab w:val="left" w:pos="1200"/>
        </w:tabs>
        <w:adjustRightInd/>
        <w:spacing w:line="360" w:lineRule="auto"/>
        <w:textAlignment w:val="auto"/>
        <w:outlineLvl w:val="2"/>
        <w:rPr>
          <w:rFonts w:hAnsi="宋体" w:cs="宋体"/>
          <w:szCs w:val="21"/>
        </w:rPr>
      </w:pPr>
      <w:r>
        <w:rPr>
          <w:rFonts w:hint="eastAsia" w:hAnsi="宋体" w:cs="宋体"/>
          <w:szCs w:val="21"/>
        </w:rPr>
        <w:t>安装技术指导</w:t>
      </w:r>
    </w:p>
    <w:p>
      <w:pPr>
        <w:pStyle w:val="19"/>
        <w:spacing w:line="360" w:lineRule="auto"/>
        <w:ind w:left="850" w:leftChars="405" w:firstLine="1" w:firstLineChars="0"/>
        <w:rPr>
          <w:sz w:val="24"/>
          <w:szCs w:val="24"/>
        </w:rPr>
      </w:pPr>
      <w:r>
        <w:rPr>
          <w:rFonts w:hint="eastAsia"/>
          <w:sz w:val="24"/>
          <w:szCs w:val="24"/>
        </w:rPr>
        <w:t>投标人须提供安装、硬件系统及软件系统调试的技术，提供安装、调试的有关设备，并在本期工程内提供安装调试的技术指导。</w:t>
      </w:r>
    </w:p>
    <w:p>
      <w:pPr>
        <w:pStyle w:val="22"/>
        <w:numPr>
          <w:ilvl w:val="0"/>
          <w:numId w:val="25"/>
        </w:numPr>
        <w:tabs>
          <w:tab w:val="left" w:pos="1200"/>
        </w:tabs>
        <w:adjustRightInd/>
        <w:spacing w:line="360" w:lineRule="auto"/>
        <w:textAlignment w:val="auto"/>
        <w:rPr>
          <w:rFonts w:hAnsi="宋体" w:cs="宋体"/>
          <w:szCs w:val="21"/>
        </w:rPr>
      </w:pPr>
      <w:r>
        <w:rPr>
          <w:rFonts w:hint="eastAsia" w:hAnsi="宋体" w:cs="宋体"/>
          <w:szCs w:val="21"/>
        </w:rPr>
        <w:t>所供系统，在今后利用新技术从硬件或软件方面有任何性能或功能的改进以及产品革新，投标人有义务书面通知买方其改进和详细情况，并提供免费升级服务；新增功能以优惠价格报价，为医院提供选择。</w:t>
      </w:r>
    </w:p>
    <w:p>
      <w:pPr>
        <w:pStyle w:val="22"/>
        <w:tabs>
          <w:tab w:val="left" w:pos="846"/>
          <w:tab w:val="left" w:pos="1200"/>
        </w:tabs>
        <w:adjustRightInd/>
        <w:spacing w:line="360" w:lineRule="auto"/>
        <w:textAlignment w:val="auto"/>
        <w:rPr>
          <w:rFonts w:hAnsi="宋体" w:cs="宋体"/>
          <w:szCs w:val="21"/>
        </w:rPr>
      </w:pPr>
    </w:p>
    <w:p>
      <w:pPr>
        <w:pStyle w:val="22"/>
        <w:tabs>
          <w:tab w:val="left" w:pos="846"/>
          <w:tab w:val="left" w:pos="1200"/>
        </w:tabs>
        <w:adjustRightInd/>
        <w:spacing w:line="360" w:lineRule="auto"/>
        <w:textAlignment w:val="auto"/>
        <w:rPr>
          <w:rFonts w:hAnsi="宋体" w:cs="宋体"/>
          <w:szCs w:val="21"/>
        </w:rPr>
      </w:pPr>
    </w:p>
    <w:p>
      <w:pPr>
        <w:rPr>
          <w:rStyle w:val="15"/>
          <w:rFonts w:hint="eastAsia" w:ascii="黑体" w:hAnsi="宋体" w:eastAsia="黑体" w:cs="黑体"/>
          <w:bCs/>
          <w:color w:val="auto"/>
          <w:kern w:val="2"/>
          <w:sz w:val="30"/>
          <w:szCs w:val="30"/>
          <w:u w:val="none"/>
          <w:lang w:val="en-US" w:eastAsia="zh-CN"/>
        </w:rPr>
      </w:pPr>
      <w:r>
        <w:rPr>
          <w:rStyle w:val="15"/>
          <w:rFonts w:hint="eastAsia" w:ascii="黑体" w:hAnsi="宋体" w:eastAsia="黑体" w:cs="黑体"/>
          <w:bCs/>
          <w:color w:val="auto"/>
          <w:kern w:val="2"/>
          <w:sz w:val="30"/>
          <w:szCs w:val="30"/>
          <w:u w:val="none"/>
          <w:lang w:val="en-US" w:eastAsia="zh-CN"/>
        </w:rPr>
        <w:br w:type="page"/>
      </w:r>
    </w:p>
    <w:p>
      <w:pPr>
        <w:keepNext w:val="0"/>
        <w:keepLines w:val="0"/>
        <w:widowControl w:val="0"/>
        <w:suppressLineNumbers w:val="0"/>
        <w:tabs>
          <w:tab w:val="left" w:pos="0"/>
        </w:tabs>
        <w:spacing w:before="0" w:beforeAutospacing="0" w:after="0" w:afterAutospacing="0" w:line="400" w:lineRule="exact"/>
        <w:ind w:left="0" w:right="0"/>
        <w:jc w:val="center"/>
        <w:outlineLvl w:val="0"/>
        <w:rPr>
          <w:rFonts w:hint="eastAsia" w:ascii="黑体" w:hAnsi="宋体" w:eastAsia="黑体" w:cs="黑体"/>
          <w:sz w:val="30"/>
          <w:szCs w:val="30"/>
          <w:lang w:val="en-US"/>
        </w:rPr>
      </w:pPr>
      <w:r>
        <w:rPr>
          <w:rStyle w:val="15"/>
          <w:rFonts w:hint="eastAsia" w:ascii="黑体" w:hAnsi="宋体" w:eastAsia="黑体" w:cs="黑体"/>
          <w:bCs/>
          <w:color w:val="auto"/>
          <w:kern w:val="2"/>
          <w:sz w:val="30"/>
          <w:szCs w:val="30"/>
          <w:u w:val="none"/>
          <w:lang w:val="en-US" w:eastAsia="zh-CN"/>
        </w:rPr>
        <w:t>第五章　</w:t>
      </w:r>
      <w:r>
        <w:rPr>
          <w:rFonts w:hint="eastAsia" w:ascii="黑体" w:hAnsi="宋体" w:eastAsia="黑体" w:cs="黑体"/>
          <w:bCs/>
          <w:kern w:val="2"/>
          <w:sz w:val="30"/>
          <w:szCs w:val="30"/>
          <w:lang w:val="en-US" w:eastAsia="zh-CN"/>
        </w:rPr>
        <w:t>评标方法和评标标准</w:t>
      </w:r>
    </w:p>
    <w:p>
      <w:pPr>
        <w:keepNext w:val="0"/>
        <w:keepLines w:val="0"/>
        <w:widowControl w:val="0"/>
        <w:suppressLineNumbers w:val="0"/>
        <w:spacing w:before="0" w:beforeAutospacing="0" w:after="0" w:afterAutospacing="0" w:line="600" w:lineRule="exact"/>
        <w:ind w:left="0" w:right="0"/>
        <w:jc w:val="left"/>
        <w:outlineLvl w:val="1"/>
        <w:rPr>
          <w:rFonts w:hint="eastAsia" w:ascii="黑体" w:hAnsi="宋体" w:eastAsia="黑体" w:cs="黑体"/>
          <w:sz w:val="28"/>
          <w:szCs w:val="28"/>
          <w:lang w:val="en-US"/>
        </w:rPr>
      </w:pPr>
      <w:r>
        <w:rPr>
          <w:rFonts w:hint="eastAsia" w:ascii="黑体" w:hAnsi="宋体" w:eastAsia="黑体" w:cs="黑体"/>
          <w:kern w:val="2"/>
          <w:sz w:val="28"/>
          <w:szCs w:val="28"/>
          <w:lang w:val="en-US" w:eastAsia="zh-CN"/>
        </w:rPr>
        <w:t>一、评标方法</w:t>
      </w:r>
    </w:p>
    <w:p>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本次评审采用综合评标法，是指投标文件满足招标文件全部实质性要求，且按照评审因素的量化指标评审得分最高的投标人为中标候选人的评标方法，评审因素包括投标报价、技术或者服务水平、履约能力、售后服务等。</w:t>
      </w:r>
    </w:p>
    <w:p>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rPr>
        <w:t>评标委员会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w:t>
      </w:r>
    </w:p>
    <w:p>
      <w:pPr>
        <w:keepNext w:val="0"/>
        <w:keepLines w:val="0"/>
        <w:widowControl w:val="0"/>
        <w:suppressLineNumbers w:val="0"/>
        <w:spacing w:before="0" w:beforeAutospacing="0" w:after="0" w:afterAutospacing="0" w:line="400" w:lineRule="exact"/>
        <w:ind w:left="0" w:right="0" w:firstLine="480" w:firstLineChars="200"/>
        <w:jc w:val="left"/>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注：每部分的得分保留小数点后两位，合计得分保留小数点后两位。</w:t>
      </w:r>
    </w:p>
    <w:p>
      <w:pPr>
        <w:keepNext w:val="0"/>
        <w:keepLines w:val="0"/>
        <w:widowControl w:val="0"/>
        <w:suppressLineNumbers w:val="0"/>
        <w:spacing w:before="0" w:beforeAutospacing="0" w:after="0" w:afterAutospacing="0" w:line="600" w:lineRule="exact"/>
        <w:ind w:left="0" w:right="0"/>
        <w:jc w:val="both"/>
        <w:outlineLvl w:val="9"/>
        <w:rPr>
          <w:rFonts w:hint="eastAsia" w:ascii="楷体_GB2312" w:eastAsia="楷体_GB2312" w:cs="楷体_GB2312"/>
          <w:sz w:val="24"/>
          <w:szCs w:val="24"/>
          <w:lang w:val="en-US"/>
        </w:rPr>
      </w:pPr>
    </w:p>
    <w:p>
      <w:pPr>
        <w:keepNext w:val="0"/>
        <w:keepLines w:val="0"/>
        <w:widowControl w:val="0"/>
        <w:suppressLineNumbers w:val="0"/>
        <w:spacing w:before="0" w:beforeAutospacing="0" w:after="0" w:afterAutospacing="0" w:line="600" w:lineRule="exact"/>
        <w:ind w:left="0" w:right="0"/>
        <w:jc w:val="both"/>
        <w:outlineLvl w:val="9"/>
        <w:rPr>
          <w:rFonts w:hint="eastAsia" w:ascii="黑体" w:hAnsi="宋体" w:eastAsia="黑体" w:cs="黑体"/>
          <w:kern w:val="2"/>
          <w:sz w:val="28"/>
          <w:szCs w:val="28"/>
          <w:lang w:val="en-US" w:eastAsia="zh-CN"/>
        </w:rPr>
      </w:pPr>
    </w:p>
    <w:p>
      <w:pPr>
        <w:keepNext w:val="0"/>
        <w:keepLines w:val="0"/>
        <w:widowControl w:val="0"/>
        <w:suppressLineNumbers w:val="0"/>
        <w:spacing w:before="0" w:beforeAutospacing="0" w:after="0" w:afterAutospacing="0" w:line="600" w:lineRule="exact"/>
        <w:ind w:left="0" w:right="0"/>
        <w:jc w:val="both"/>
        <w:outlineLvl w:val="9"/>
        <w:rPr>
          <w:rFonts w:hint="eastAsia" w:ascii="黑体" w:hAnsi="宋体" w:eastAsia="黑体" w:cs="黑体"/>
          <w:kern w:val="2"/>
          <w:sz w:val="28"/>
          <w:szCs w:val="28"/>
          <w:lang w:val="en-US" w:eastAsia="zh-CN"/>
        </w:rPr>
      </w:pPr>
    </w:p>
    <w:p>
      <w:pPr>
        <w:keepNext w:val="0"/>
        <w:keepLines w:val="0"/>
        <w:widowControl w:val="0"/>
        <w:suppressLineNumbers w:val="0"/>
        <w:spacing w:before="0" w:beforeAutospacing="0" w:after="0" w:afterAutospacing="0" w:line="600" w:lineRule="exact"/>
        <w:ind w:left="0" w:right="0"/>
        <w:jc w:val="both"/>
        <w:outlineLvl w:val="9"/>
        <w:rPr>
          <w:rFonts w:hint="eastAsia" w:ascii="黑体" w:hAnsi="宋体" w:eastAsia="黑体" w:cs="黑体"/>
          <w:kern w:val="2"/>
          <w:sz w:val="28"/>
          <w:szCs w:val="28"/>
          <w:lang w:val="en-US" w:eastAsia="zh-CN"/>
        </w:rPr>
      </w:pPr>
    </w:p>
    <w:p>
      <w:pPr>
        <w:keepNext w:val="0"/>
        <w:keepLines w:val="0"/>
        <w:widowControl w:val="0"/>
        <w:suppressLineNumbers w:val="0"/>
        <w:spacing w:before="0" w:beforeAutospacing="0" w:after="0" w:afterAutospacing="0" w:line="600" w:lineRule="exact"/>
        <w:ind w:left="0" w:right="0"/>
        <w:jc w:val="both"/>
        <w:outlineLvl w:val="9"/>
        <w:rPr>
          <w:rFonts w:hint="eastAsia" w:ascii="黑体" w:hAnsi="宋体" w:eastAsia="黑体" w:cs="黑体"/>
          <w:kern w:val="2"/>
          <w:sz w:val="28"/>
          <w:szCs w:val="28"/>
          <w:lang w:val="en-US" w:eastAsia="zh-CN"/>
        </w:rPr>
      </w:pPr>
    </w:p>
    <w:p>
      <w:pPr>
        <w:rPr>
          <w:rFonts w:hint="eastAsia" w:ascii="黑体" w:hAnsi="宋体" w:eastAsia="黑体" w:cs="黑体"/>
          <w:kern w:val="2"/>
          <w:sz w:val="28"/>
          <w:szCs w:val="28"/>
          <w:lang w:val="en-US" w:eastAsia="zh-CN"/>
        </w:rPr>
        <w:sectPr>
          <w:footerReference r:id="rId9" w:type="default"/>
          <w:pgSz w:w="11906" w:h="16838"/>
          <w:pgMar w:top="1440" w:right="1800" w:bottom="1440" w:left="1800" w:header="851" w:footer="992" w:gutter="0"/>
          <w:cols w:space="425" w:num="1"/>
          <w:docGrid w:type="lines" w:linePitch="312" w:charSpace="0"/>
        </w:sectPr>
      </w:pPr>
    </w:p>
    <w:p>
      <w:pPr>
        <w:numPr>
          <w:ilvl w:val="0"/>
          <w:numId w:val="26"/>
        </w:numPr>
        <w:outlineLvl w:val="1"/>
        <w:rPr>
          <w:rFonts w:hint="eastAsia" w:ascii="黑体" w:hAnsi="宋体" w:eastAsia="黑体" w:cs="黑体"/>
          <w:kern w:val="2"/>
          <w:sz w:val="28"/>
          <w:szCs w:val="28"/>
          <w:lang w:val="en-US" w:eastAsia="zh-CN"/>
        </w:rPr>
      </w:pPr>
      <w:r>
        <w:rPr>
          <w:rFonts w:hint="eastAsia" w:ascii="黑体" w:hAnsi="宋体" w:eastAsia="黑体" w:cs="黑体"/>
          <w:kern w:val="2"/>
          <w:sz w:val="28"/>
          <w:szCs w:val="28"/>
          <w:lang w:val="en-US" w:eastAsia="zh-CN"/>
        </w:rPr>
        <w:t>评分标准</w:t>
      </w:r>
    </w:p>
    <w:p>
      <w:pPr>
        <w:pStyle w:val="19"/>
        <w:spacing w:line="360" w:lineRule="auto"/>
        <w:ind w:firstLine="480"/>
        <w:rPr>
          <w:sz w:val="24"/>
          <w:szCs w:val="24"/>
        </w:rPr>
      </w:pPr>
      <w:r>
        <w:rPr>
          <w:rFonts w:hint="eastAsia"/>
          <w:sz w:val="24"/>
          <w:szCs w:val="24"/>
        </w:rPr>
        <w:t>投标提供所有资质证明材料必须保证真实有效，并无条件接受采购人和政府采购监督管理部门对材料进行核查。</w:t>
      </w:r>
      <w:r>
        <w:rPr>
          <w:sz w:val="24"/>
          <w:szCs w:val="24"/>
        </w:rPr>
        <w:t>本次评标采用综合评分法</w:t>
      </w:r>
      <w:r>
        <w:rPr>
          <w:rFonts w:hint="eastAsia"/>
          <w:sz w:val="24"/>
          <w:szCs w:val="24"/>
        </w:rPr>
        <w:t>，</w:t>
      </w:r>
      <w:r>
        <w:rPr>
          <w:sz w:val="24"/>
          <w:szCs w:val="24"/>
        </w:rPr>
        <w:t>评标以招标文件规定的条件为依据</w:t>
      </w:r>
      <w:r>
        <w:rPr>
          <w:rFonts w:hint="eastAsia"/>
          <w:sz w:val="24"/>
          <w:szCs w:val="24"/>
        </w:rPr>
        <w:t>，</w:t>
      </w:r>
      <w:r>
        <w:rPr>
          <w:sz w:val="24"/>
          <w:szCs w:val="24"/>
        </w:rPr>
        <w:t>评分比重构成如下：</w:t>
      </w:r>
    </w:p>
    <w:tbl>
      <w:tblPr>
        <w:tblStyle w:val="12"/>
        <w:tblW w:w="4573"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3"/>
        <w:gridCol w:w="4400"/>
        <w:gridCol w:w="2504"/>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8"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评分项目</w:t>
            </w:r>
          </w:p>
        </w:tc>
        <w:tc>
          <w:tcPr>
            <w:tcW w:w="1722"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技术评分</w:t>
            </w:r>
          </w:p>
        </w:tc>
        <w:tc>
          <w:tcPr>
            <w:tcW w:w="980"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商务评分</w:t>
            </w:r>
          </w:p>
        </w:tc>
        <w:tc>
          <w:tcPr>
            <w:tcW w:w="1600"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698"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分值</w:t>
            </w:r>
          </w:p>
        </w:tc>
        <w:tc>
          <w:tcPr>
            <w:tcW w:w="1722" w:type="pct"/>
            <w:vAlign w:val="center"/>
          </w:tcPr>
          <w:p>
            <w:pPr>
              <w:spacing w:line="360" w:lineRule="auto"/>
              <w:jc w:val="center"/>
              <w:rPr>
                <w:rFonts w:asciiTheme="minorEastAsia" w:hAnsiTheme="minorEastAsia" w:eastAsiaTheme="minorEastAsia"/>
              </w:rPr>
            </w:pPr>
            <w:r>
              <w:rPr>
                <w:rFonts w:hint="eastAsia" w:cs="仿宋_GB2312" w:asciiTheme="minorEastAsia" w:hAnsiTheme="minorEastAsia" w:eastAsiaTheme="minorEastAsia"/>
                <w:sz w:val="24"/>
              </w:rPr>
              <w:t>50</w:t>
            </w:r>
            <w:r>
              <w:rPr>
                <w:rFonts w:cs="仿宋_GB2312" w:asciiTheme="minorEastAsia" w:hAnsiTheme="minorEastAsia" w:eastAsiaTheme="minorEastAsia"/>
                <w:sz w:val="24"/>
              </w:rPr>
              <w:t>分</w:t>
            </w:r>
          </w:p>
        </w:tc>
        <w:tc>
          <w:tcPr>
            <w:tcW w:w="980"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20分</w:t>
            </w:r>
          </w:p>
        </w:tc>
        <w:tc>
          <w:tcPr>
            <w:tcW w:w="1600" w:type="pct"/>
            <w:vAlign w:val="center"/>
          </w:tcPr>
          <w:p>
            <w:pPr>
              <w:spacing w:line="360" w:lineRule="auto"/>
              <w:jc w:val="center"/>
              <w:rPr>
                <w:rFonts w:asciiTheme="minorEastAsia" w:hAnsiTheme="minorEastAsia" w:eastAsiaTheme="minorEastAsia"/>
              </w:rPr>
            </w:pPr>
            <w:r>
              <w:rPr>
                <w:rFonts w:cs="仿宋_GB2312" w:asciiTheme="minorEastAsia" w:hAnsiTheme="minorEastAsia" w:eastAsiaTheme="minorEastAsia"/>
                <w:sz w:val="24"/>
              </w:rPr>
              <w:t>30分</w:t>
            </w:r>
          </w:p>
        </w:tc>
      </w:tr>
    </w:tbl>
    <w:p>
      <w:pPr>
        <w:pStyle w:val="19"/>
        <w:spacing w:line="360" w:lineRule="auto"/>
        <w:ind w:firstLine="480"/>
        <w:rPr>
          <w:sz w:val="24"/>
          <w:szCs w:val="24"/>
        </w:rPr>
      </w:pPr>
    </w:p>
    <w:p>
      <w:pPr>
        <w:pStyle w:val="19"/>
        <w:spacing w:line="360" w:lineRule="auto"/>
        <w:ind w:firstLine="480"/>
        <w:rPr>
          <w:sz w:val="24"/>
          <w:szCs w:val="24"/>
        </w:rPr>
      </w:pPr>
      <w:r>
        <w:rPr>
          <w:rFonts w:hint="eastAsia"/>
          <w:sz w:val="24"/>
          <w:szCs w:val="24"/>
        </w:rPr>
        <w:t>由评委对所有有效投标文件的技术和服务响应方案进行审核和分析，填写《技术评分表》，如下：</w:t>
      </w:r>
    </w:p>
    <w:p>
      <w:pPr>
        <w:pStyle w:val="18"/>
        <w:numPr>
          <w:ilvl w:val="0"/>
          <w:numId w:val="0"/>
        </w:numPr>
        <w:rPr>
          <w:rFonts w:hint="eastAsia"/>
          <w:lang w:val="en-US"/>
        </w:rPr>
      </w:pPr>
    </w:p>
    <w:tbl>
      <w:tblPr>
        <w:tblStyle w:val="12"/>
        <w:tblW w:w="1275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631"/>
        <w:gridCol w:w="866"/>
        <w:gridCol w:w="6659"/>
        <w:gridCol w:w="561"/>
        <w:gridCol w:w="573"/>
        <w:gridCol w:w="5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1192" w:type="dxa"/>
            <w:vMerge w:val="restart"/>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w:t>
            </w:r>
          </w:p>
        </w:tc>
        <w:tc>
          <w:tcPr>
            <w:tcW w:w="1631" w:type="dxa"/>
            <w:vMerge w:val="restart"/>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评分类别</w:t>
            </w:r>
          </w:p>
        </w:tc>
        <w:tc>
          <w:tcPr>
            <w:tcW w:w="866" w:type="dxa"/>
            <w:vMerge w:val="restart"/>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分值</w:t>
            </w:r>
          </w:p>
        </w:tc>
        <w:tc>
          <w:tcPr>
            <w:tcW w:w="6659" w:type="dxa"/>
            <w:vMerge w:val="restart"/>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评分内容及方法</w:t>
            </w:r>
          </w:p>
        </w:tc>
        <w:tc>
          <w:tcPr>
            <w:tcW w:w="2409" w:type="dxa"/>
            <w:gridSpan w:val="4"/>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1192" w:type="dxa"/>
            <w:vMerge w:val="continue"/>
            <w:shd w:val="clear" w:color="auto" w:fill="auto"/>
            <w:vAlign w:val="center"/>
          </w:tcPr>
          <w:p>
            <w:pPr>
              <w:widowControl/>
              <w:spacing w:line="360" w:lineRule="auto"/>
              <w:jc w:val="center"/>
              <w:rPr>
                <w:rFonts w:ascii="宋体" w:hAnsi="宋体" w:eastAsia="宋体" w:cs="宋体"/>
                <w:b/>
                <w:bCs/>
                <w:color w:val="000000"/>
                <w:kern w:val="0"/>
                <w:sz w:val="24"/>
              </w:rPr>
            </w:pPr>
          </w:p>
        </w:tc>
        <w:tc>
          <w:tcPr>
            <w:tcW w:w="1631" w:type="dxa"/>
            <w:vMerge w:val="continue"/>
            <w:shd w:val="clear" w:color="auto" w:fill="auto"/>
            <w:vAlign w:val="center"/>
          </w:tcPr>
          <w:p>
            <w:pPr>
              <w:widowControl/>
              <w:spacing w:line="360" w:lineRule="auto"/>
              <w:jc w:val="center"/>
              <w:rPr>
                <w:rFonts w:ascii="宋体" w:hAnsi="宋体" w:eastAsia="宋体" w:cs="宋体"/>
                <w:b/>
                <w:bCs/>
                <w:color w:val="000000"/>
                <w:kern w:val="0"/>
                <w:sz w:val="24"/>
              </w:rPr>
            </w:pPr>
          </w:p>
        </w:tc>
        <w:tc>
          <w:tcPr>
            <w:tcW w:w="866" w:type="dxa"/>
            <w:vMerge w:val="continue"/>
            <w:shd w:val="clear" w:color="auto" w:fill="auto"/>
            <w:vAlign w:val="center"/>
          </w:tcPr>
          <w:p>
            <w:pPr>
              <w:widowControl/>
              <w:spacing w:line="360" w:lineRule="auto"/>
              <w:jc w:val="center"/>
              <w:rPr>
                <w:rFonts w:ascii="宋体" w:hAnsi="宋体" w:eastAsia="宋体" w:cs="宋体"/>
                <w:b/>
                <w:bCs/>
                <w:color w:val="000000"/>
                <w:kern w:val="0"/>
                <w:sz w:val="24"/>
              </w:rPr>
            </w:pPr>
          </w:p>
        </w:tc>
        <w:tc>
          <w:tcPr>
            <w:tcW w:w="6659" w:type="dxa"/>
            <w:vMerge w:val="continue"/>
            <w:shd w:val="clear" w:color="auto" w:fill="auto"/>
            <w:vAlign w:val="center"/>
          </w:tcPr>
          <w:p>
            <w:pPr>
              <w:widowControl/>
              <w:spacing w:line="360" w:lineRule="auto"/>
              <w:jc w:val="center"/>
              <w:rPr>
                <w:rFonts w:ascii="宋体" w:hAnsi="宋体" w:eastAsia="宋体" w:cs="宋体"/>
                <w:b/>
                <w:bCs/>
                <w:color w:val="000000"/>
                <w:kern w:val="0"/>
                <w:sz w:val="24"/>
              </w:rPr>
            </w:pPr>
          </w:p>
        </w:tc>
        <w:tc>
          <w:tcPr>
            <w:tcW w:w="561" w:type="dxa"/>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573" w:type="dxa"/>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567" w:type="dxa"/>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08" w:type="dxa"/>
            <w:shd w:val="clear" w:color="auto" w:fill="auto"/>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92"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价格部分</w:t>
            </w:r>
          </w:p>
        </w:tc>
        <w:tc>
          <w:tcPr>
            <w:tcW w:w="1631"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报价</w:t>
            </w: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3</w:t>
            </w:r>
            <w:r>
              <w:rPr>
                <w:rFonts w:hint="eastAsia" w:ascii="宋体" w:hAnsi="宋体" w:eastAsia="宋体" w:cs="宋体"/>
                <w:color w:val="000000"/>
                <w:kern w:val="0"/>
                <w:sz w:val="24"/>
              </w:rPr>
              <w:t>0分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cs="Times New Roman" w:asciiTheme="minorEastAsia" w:hAnsiTheme="minorEastAsia" w:eastAsiaTheme="minorEastAsia"/>
                <w:sz w:val="24"/>
              </w:rPr>
              <w:t>价格得分采用以所有有效投标报价的算术平均值作为评标基准价，投标报价与评标基准价相等的得满分，每偏离该评标基准价1%的扣0.5分，最多扣10分（不足1%的按照内插法计算，小数点后保留两位，四舍五入）。有效投标报价指实质响应招标文件所有要求，没有恶意竞争和没有被废标的投标报价。其中，“有效投标报价”指实质响应招标文件所有要求，没有恶意竞争和没有被废标的投标报价。</w:t>
            </w:r>
          </w:p>
        </w:tc>
        <w:tc>
          <w:tcPr>
            <w:tcW w:w="561" w:type="dxa"/>
            <w:shd w:val="clear" w:color="auto" w:fill="auto"/>
            <w:vAlign w:val="center"/>
          </w:tcPr>
          <w:p>
            <w:pPr>
              <w:widowControl/>
              <w:spacing w:line="360" w:lineRule="auto"/>
              <w:rPr>
                <w:rFonts w:ascii="宋体" w:hAnsi="宋体" w:eastAsia="宋体" w:cs="宋体"/>
                <w:b/>
                <w:bCs/>
                <w:color w:val="000000"/>
                <w:kern w:val="0"/>
                <w:sz w:val="24"/>
              </w:rPr>
            </w:pPr>
          </w:p>
        </w:tc>
        <w:tc>
          <w:tcPr>
            <w:tcW w:w="573" w:type="dxa"/>
            <w:vAlign w:val="center"/>
          </w:tcPr>
          <w:p>
            <w:pPr>
              <w:widowControl/>
              <w:spacing w:line="360" w:lineRule="auto"/>
              <w:rPr>
                <w:rFonts w:ascii="宋体" w:hAnsi="宋体" w:eastAsia="宋体" w:cs="宋体"/>
                <w:b/>
                <w:bCs/>
                <w:color w:val="000000"/>
                <w:kern w:val="0"/>
                <w:sz w:val="24"/>
              </w:rPr>
            </w:pPr>
          </w:p>
        </w:tc>
        <w:tc>
          <w:tcPr>
            <w:tcW w:w="567" w:type="dxa"/>
            <w:vAlign w:val="center"/>
          </w:tcPr>
          <w:p>
            <w:pPr>
              <w:widowControl/>
              <w:spacing w:line="360" w:lineRule="auto"/>
              <w:rPr>
                <w:rFonts w:ascii="宋体" w:hAnsi="宋体" w:eastAsia="宋体" w:cs="宋体"/>
                <w:b/>
                <w:bCs/>
                <w:color w:val="000000"/>
                <w:kern w:val="0"/>
                <w:sz w:val="24"/>
              </w:rPr>
            </w:pPr>
          </w:p>
        </w:tc>
        <w:tc>
          <w:tcPr>
            <w:tcW w:w="708" w:type="dxa"/>
            <w:vAlign w:val="center"/>
          </w:tcPr>
          <w:p>
            <w:pPr>
              <w:widowControl/>
              <w:spacing w:line="360" w:lineRule="auto"/>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2"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商务部分</w:t>
            </w:r>
          </w:p>
        </w:tc>
        <w:tc>
          <w:tcPr>
            <w:tcW w:w="1631"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供应商实力（需提供证书复印件加盖供应商公章，否则不得分）</w:t>
            </w:r>
          </w:p>
        </w:tc>
        <w:tc>
          <w:tcPr>
            <w:tcW w:w="866"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提供公安部颁发的《信息系统安全等级保护》证明，获得三级或以上，得</w:t>
            </w:r>
            <w:r>
              <w:rPr>
                <w:rFonts w:ascii="宋体" w:hAnsi="宋体" w:eastAsia="宋体" w:cs="宋体"/>
                <w:color w:val="000000"/>
                <w:kern w:val="0"/>
                <w:sz w:val="24"/>
              </w:rPr>
              <w:t>2</w:t>
            </w:r>
            <w:r>
              <w:rPr>
                <w:rFonts w:hint="eastAsia" w:ascii="宋体" w:hAnsi="宋体" w:eastAsia="宋体" w:cs="宋体"/>
                <w:color w:val="000000"/>
                <w:kern w:val="0"/>
                <w:sz w:val="24"/>
              </w:rPr>
              <w:t>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vMerge w:val="continue"/>
            <w:vAlign w:val="center"/>
          </w:tcPr>
          <w:p>
            <w:pPr>
              <w:widowControl/>
              <w:spacing w:line="360" w:lineRule="auto"/>
              <w:jc w:val="left"/>
              <w:rPr>
                <w:rFonts w:ascii="宋体" w:hAnsi="宋体" w:eastAsia="宋体" w:cs="宋体"/>
                <w:color w:val="000000"/>
                <w:kern w:val="0"/>
                <w:sz w:val="24"/>
              </w:rPr>
            </w:pP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提供中国网络安全审查与认证中心颁发的《信息安全服务资质认证证书》，符合信息系统安全集成服务资质要求三级或以上，得</w:t>
            </w:r>
            <w:r>
              <w:rPr>
                <w:rFonts w:ascii="宋体" w:hAnsi="宋体" w:eastAsia="宋体" w:cs="宋体"/>
                <w:color w:val="000000"/>
                <w:kern w:val="0"/>
                <w:sz w:val="24"/>
              </w:rPr>
              <w:t>2</w:t>
            </w:r>
            <w:r>
              <w:rPr>
                <w:rFonts w:hint="eastAsia" w:ascii="宋体" w:hAnsi="宋体" w:eastAsia="宋体" w:cs="宋体"/>
                <w:color w:val="000000"/>
                <w:kern w:val="0"/>
                <w:sz w:val="24"/>
              </w:rPr>
              <w:t>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vMerge w:val="continue"/>
            <w:vAlign w:val="center"/>
          </w:tcPr>
          <w:p>
            <w:pPr>
              <w:widowControl/>
              <w:spacing w:line="360" w:lineRule="auto"/>
              <w:jc w:val="left"/>
              <w:rPr>
                <w:rFonts w:ascii="宋体" w:hAnsi="宋体" w:eastAsia="宋体" w:cs="宋体"/>
                <w:color w:val="000000"/>
                <w:kern w:val="0"/>
                <w:sz w:val="24"/>
              </w:rPr>
            </w:pP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提供医院信息管理系统软件《计算机软件著作权登记证书》，得</w:t>
            </w:r>
            <w:r>
              <w:rPr>
                <w:rFonts w:ascii="宋体" w:hAnsi="宋体" w:eastAsia="宋体" w:cs="宋体"/>
                <w:color w:val="000000"/>
                <w:kern w:val="0"/>
                <w:sz w:val="24"/>
              </w:rPr>
              <w:t>1</w:t>
            </w:r>
            <w:r>
              <w:rPr>
                <w:rFonts w:hint="eastAsia" w:ascii="宋体" w:hAnsi="宋体" w:eastAsia="宋体" w:cs="宋体"/>
                <w:color w:val="000000"/>
                <w:kern w:val="0"/>
                <w:sz w:val="24"/>
              </w:rPr>
              <w:t>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类似业绩</w:t>
            </w:r>
          </w:p>
        </w:tc>
        <w:tc>
          <w:tcPr>
            <w:tcW w:w="866" w:type="dxa"/>
            <w:shd w:val="clear" w:color="auto" w:fill="auto"/>
            <w:vAlign w:val="center"/>
          </w:tcPr>
          <w:p>
            <w:pPr>
              <w:widowControl/>
              <w:spacing w:line="360" w:lineRule="auto"/>
              <w:jc w:val="left"/>
              <w:rPr>
                <w:rFonts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1、投标人提供同类项目（三甲医院）实施经验（项目合同内容需包含：“协同办公”、“协同管理”、“流程管理”其中一项）。</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2、且合作医院行政管理系统与医院电子病历系统、医院HIS系统、医院HRP系统、医院集成平台、CA系统、医院LIS系统成功对接（满足以上其中一项的证明材料）。</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须同时提供合同以及由合作医院盖章的证明文件，每提供一个案例得</w:t>
            </w:r>
            <w:r>
              <w:rPr>
                <w:rFonts w:ascii="宋体" w:hAnsi="宋体" w:eastAsia="宋体" w:cs="宋体"/>
                <w:color w:val="000000"/>
                <w:kern w:val="0"/>
                <w:sz w:val="24"/>
              </w:rPr>
              <w:t>1</w:t>
            </w:r>
            <w:r>
              <w:rPr>
                <w:rFonts w:hint="eastAsia" w:ascii="宋体" w:hAnsi="宋体" w:eastAsia="宋体" w:cs="宋体"/>
                <w:color w:val="000000"/>
                <w:kern w:val="0"/>
                <w:sz w:val="24"/>
              </w:rPr>
              <w:t>分，最高</w:t>
            </w:r>
            <w:r>
              <w:rPr>
                <w:rFonts w:ascii="宋体" w:hAnsi="宋体" w:eastAsia="宋体" w:cs="宋体"/>
                <w:color w:val="000000"/>
                <w:kern w:val="0"/>
                <w:sz w:val="24"/>
              </w:rPr>
              <w:t>5</w:t>
            </w:r>
            <w:r>
              <w:rPr>
                <w:rFonts w:hint="eastAsia" w:ascii="宋体" w:hAnsi="宋体" w:eastAsia="宋体" w:cs="宋体"/>
                <w:color w:val="000000"/>
                <w:kern w:val="0"/>
                <w:sz w:val="24"/>
              </w:rPr>
              <w:t>分。请投标人严格按照要求提交相关证明材料，否则有可能影响评审结果。</w:t>
            </w:r>
          </w:p>
        </w:tc>
        <w:tc>
          <w:tcPr>
            <w:tcW w:w="561" w:type="dxa"/>
            <w:shd w:val="clear" w:color="auto" w:fill="auto"/>
            <w:vAlign w:val="center"/>
          </w:tcPr>
          <w:p>
            <w:pPr>
              <w:widowControl/>
              <w:spacing w:line="360" w:lineRule="auto"/>
              <w:jc w:val="center"/>
              <w:rPr>
                <w:rFonts w:ascii="宋体" w:hAnsi="宋体" w:eastAsia="宋体" w:cs="宋体"/>
                <w:b/>
                <w:bCs/>
                <w:color w:val="000000"/>
                <w:kern w:val="0"/>
                <w:sz w:val="24"/>
              </w:rPr>
            </w:pPr>
          </w:p>
        </w:tc>
        <w:tc>
          <w:tcPr>
            <w:tcW w:w="573" w:type="dxa"/>
            <w:vAlign w:val="center"/>
          </w:tcPr>
          <w:p>
            <w:pPr>
              <w:widowControl/>
              <w:spacing w:line="360" w:lineRule="auto"/>
              <w:jc w:val="center"/>
              <w:rPr>
                <w:rFonts w:ascii="宋体" w:hAnsi="宋体" w:eastAsia="宋体" w:cs="宋体"/>
                <w:b/>
                <w:bCs/>
                <w:color w:val="000000"/>
                <w:kern w:val="0"/>
                <w:sz w:val="24"/>
              </w:rPr>
            </w:pPr>
          </w:p>
        </w:tc>
        <w:tc>
          <w:tcPr>
            <w:tcW w:w="567" w:type="dxa"/>
            <w:vAlign w:val="center"/>
          </w:tcPr>
          <w:p>
            <w:pPr>
              <w:widowControl/>
              <w:spacing w:line="360" w:lineRule="auto"/>
              <w:jc w:val="center"/>
              <w:rPr>
                <w:rFonts w:ascii="宋体" w:hAnsi="宋体" w:eastAsia="宋体" w:cs="宋体"/>
                <w:b/>
                <w:bCs/>
                <w:color w:val="000000"/>
                <w:kern w:val="0"/>
                <w:sz w:val="24"/>
              </w:rPr>
            </w:pPr>
          </w:p>
        </w:tc>
        <w:tc>
          <w:tcPr>
            <w:tcW w:w="708" w:type="dxa"/>
            <w:vAlign w:val="center"/>
          </w:tcPr>
          <w:p>
            <w:pPr>
              <w:widowControl/>
              <w:spacing w:line="360" w:lineRule="auto"/>
              <w:jc w:val="center"/>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企业信誉</w:t>
            </w: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5分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根据投标人或生产厂商信誉资信证明、守合同重信用等相关证书进行评分，连续10年或以上得</w:t>
            </w:r>
            <w:r>
              <w:rPr>
                <w:rFonts w:ascii="宋体" w:hAnsi="宋体" w:eastAsia="宋体" w:cs="宋体"/>
                <w:color w:val="000000"/>
                <w:kern w:val="0"/>
                <w:sz w:val="24"/>
              </w:rPr>
              <w:t>5</w:t>
            </w:r>
            <w:r>
              <w:rPr>
                <w:rFonts w:hint="eastAsia" w:ascii="宋体" w:hAnsi="宋体" w:eastAsia="宋体" w:cs="宋体"/>
                <w:color w:val="000000"/>
                <w:kern w:val="0"/>
                <w:sz w:val="24"/>
              </w:rPr>
              <w:t>分；连续8年或以上得</w:t>
            </w:r>
            <w:r>
              <w:rPr>
                <w:rFonts w:ascii="宋体" w:hAnsi="宋体" w:eastAsia="宋体" w:cs="宋体"/>
                <w:color w:val="000000"/>
                <w:kern w:val="0"/>
                <w:sz w:val="24"/>
              </w:rPr>
              <w:t>4</w:t>
            </w:r>
            <w:r>
              <w:rPr>
                <w:rFonts w:hint="eastAsia" w:ascii="宋体" w:hAnsi="宋体" w:eastAsia="宋体" w:cs="宋体"/>
                <w:color w:val="000000"/>
                <w:kern w:val="0"/>
                <w:sz w:val="24"/>
              </w:rPr>
              <w:t>分；连续6年或以上得</w:t>
            </w:r>
            <w:r>
              <w:rPr>
                <w:rFonts w:ascii="宋体" w:hAnsi="宋体" w:eastAsia="宋体" w:cs="宋体"/>
                <w:color w:val="000000"/>
                <w:kern w:val="0"/>
                <w:sz w:val="24"/>
              </w:rPr>
              <w:t>3</w:t>
            </w:r>
            <w:r>
              <w:rPr>
                <w:rFonts w:hint="eastAsia" w:ascii="宋体" w:hAnsi="宋体" w:eastAsia="宋体" w:cs="宋体"/>
                <w:color w:val="000000"/>
                <w:kern w:val="0"/>
                <w:sz w:val="24"/>
              </w:rPr>
              <w:t>分；连续</w:t>
            </w:r>
            <w:r>
              <w:rPr>
                <w:rFonts w:ascii="宋体" w:hAnsi="宋体" w:eastAsia="宋体" w:cs="宋体"/>
                <w:color w:val="000000"/>
                <w:kern w:val="0"/>
                <w:sz w:val="24"/>
              </w:rPr>
              <w:t>4</w:t>
            </w:r>
            <w:r>
              <w:rPr>
                <w:rFonts w:hint="eastAsia" w:ascii="宋体" w:hAnsi="宋体" w:eastAsia="宋体" w:cs="宋体"/>
                <w:color w:val="000000"/>
                <w:kern w:val="0"/>
                <w:sz w:val="24"/>
              </w:rPr>
              <w:t>年或以上得</w:t>
            </w:r>
            <w:r>
              <w:rPr>
                <w:rFonts w:ascii="宋体" w:hAnsi="宋体" w:eastAsia="宋体" w:cs="宋体"/>
                <w:color w:val="000000"/>
                <w:kern w:val="0"/>
                <w:sz w:val="24"/>
              </w:rPr>
              <w:t>2</w:t>
            </w:r>
            <w:r>
              <w:rPr>
                <w:rFonts w:hint="eastAsia" w:ascii="宋体" w:hAnsi="宋体" w:eastAsia="宋体" w:cs="宋体"/>
                <w:color w:val="000000"/>
                <w:kern w:val="0"/>
                <w:sz w:val="24"/>
              </w:rPr>
              <w:t>分；连续</w:t>
            </w:r>
            <w:r>
              <w:rPr>
                <w:rFonts w:ascii="宋体" w:hAnsi="宋体" w:eastAsia="宋体" w:cs="宋体"/>
                <w:color w:val="000000"/>
                <w:kern w:val="0"/>
                <w:sz w:val="24"/>
              </w:rPr>
              <w:t>2</w:t>
            </w:r>
            <w:r>
              <w:rPr>
                <w:rFonts w:hint="eastAsia" w:ascii="宋体" w:hAnsi="宋体" w:eastAsia="宋体" w:cs="宋体"/>
                <w:color w:val="000000"/>
                <w:kern w:val="0"/>
                <w:sz w:val="24"/>
              </w:rPr>
              <w:t>年或以上得</w:t>
            </w:r>
            <w:r>
              <w:rPr>
                <w:rFonts w:ascii="宋体" w:hAnsi="宋体" w:eastAsia="宋体" w:cs="宋体"/>
                <w:color w:val="000000"/>
                <w:kern w:val="0"/>
                <w:sz w:val="24"/>
              </w:rPr>
              <w:t>1</w:t>
            </w:r>
            <w:r>
              <w:rPr>
                <w:rFonts w:hint="eastAsia" w:ascii="宋体" w:hAnsi="宋体" w:eastAsia="宋体" w:cs="宋体"/>
                <w:color w:val="000000"/>
                <w:kern w:val="0"/>
                <w:sz w:val="24"/>
              </w:rPr>
              <w:t>分；</w:t>
            </w:r>
            <w:r>
              <w:rPr>
                <w:rFonts w:ascii="宋体" w:hAnsi="宋体" w:eastAsia="宋体" w:cs="宋体"/>
                <w:color w:val="000000"/>
                <w:kern w:val="0"/>
                <w:sz w:val="24"/>
              </w:rPr>
              <w:t>2</w:t>
            </w:r>
            <w:r>
              <w:rPr>
                <w:rFonts w:hint="eastAsia" w:ascii="宋体" w:hAnsi="宋体" w:eastAsia="宋体" w:cs="宋体"/>
                <w:color w:val="000000"/>
                <w:kern w:val="0"/>
                <w:sz w:val="24"/>
              </w:rPr>
              <w:t>年以下或没提供相关证明材料得0分。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spacing w:line="360" w:lineRule="auto"/>
              <w:jc w:val="center"/>
              <w:rPr>
                <w:rFonts w:ascii="宋体" w:hAnsi="宋体" w:eastAsia="宋体" w:cs="宋体"/>
                <w:color w:val="000000"/>
                <w:kern w:val="0"/>
                <w:sz w:val="24"/>
              </w:rPr>
            </w:pPr>
          </w:p>
        </w:tc>
        <w:tc>
          <w:tcPr>
            <w:tcW w:w="1631"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技术</w:t>
            </w:r>
            <w:r>
              <w:rPr>
                <w:rFonts w:ascii="宋体" w:hAnsi="宋体" w:eastAsia="宋体" w:cs="宋体"/>
                <w:color w:val="000000"/>
                <w:kern w:val="0"/>
                <w:sz w:val="24"/>
              </w:rPr>
              <w:t>人员保障</w:t>
            </w: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2</w:t>
            </w:r>
            <w:r>
              <w:rPr>
                <w:rFonts w:hint="eastAsia" w:ascii="宋体" w:hAnsi="宋体" w:eastAsia="宋体" w:cs="宋体"/>
                <w:color w:val="000000"/>
                <w:kern w:val="0"/>
                <w:sz w:val="24"/>
              </w:rPr>
              <w:t>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提供1名项目经理具备以下资质：</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IPMP（或PMP证书、信息系统项目管理师证书）</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注: 须提供以上资质证明材料及项目经理在投标人服务的外部证明材料扫描件，如投标截止日之前六个月以内任意月份的代缴个税税单或参加社会保险的《投保单》或《社会保险参保人员证明》等。无提供的不得分。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spacing w:line="360" w:lineRule="auto"/>
              <w:jc w:val="center"/>
              <w:rPr>
                <w:rFonts w:ascii="宋体" w:hAnsi="宋体" w:eastAsia="宋体" w:cs="宋体"/>
                <w:color w:val="000000"/>
                <w:kern w:val="0"/>
                <w:sz w:val="24"/>
              </w:rPr>
            </w:pPr>
          </w:p>
        </w:tc>
        <w:tc>
          <w:tcPr>
            <w:tcW w:w="1631" w:type="dxa"/>
            <w:vMerge w:val="continue"/>
            <w:shd w:val="clear" w:color="auto" w:fill="auto"/>
            <w:vAlign w:val="center"/>
          </w:tcPr>
          <w:p>
            <w:pPr>
              <w:widowControl/>
              <w:spacing w:line="360" w:lineRule="auto"/>
              <w:jc w:val="center"/>
              <w:rPr>
                <w:rFonts w:ascii="宋体" w:hAnsi="宋体" w:eastAsia="宋体" w:cs="宋体"/>
                <w:color w:val="000000"/>
                <w:kern w:val="0"/>
                <w:sz w:val="24"/>
              </w:rPr>
            </w:pPr>
          </w:p>
        </w:tc>
        <w:tc>
          <w:tcPr>
            <w:tcW w:w="866" w:type="dxa"/>
            <w:shd w:val="clear" w:color="auto" w:fill="auto"/>
            <w:vAlign w:val="center"/>
          </w:tcPr>
          <w:p>
            <w:pPr>
              <w:tabs>
                <w:tab w:val="left" w:pos="0"/>
                <w:tab w:val="left" w:pos="720"/>
                <w:tab w:val="left" w:pos="1080"/>
              </w:tabs>
              <w:spacing w:line="360" w:lineRule="auto"/>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3分</w:t>
            </w:r>
          </w:p>
        </w:tc>
        <w:tc>
          <w:tcPr>
            <w:tcW w:w="6659" w:type="dxa"/>
            <w:shd w:val="clear" w:color="auto" w:fill="auto"/>
            <w:vAlign w:val="center"/>
          </w:tcPr>
          <w:p>
            <w:pPr>
              <w:widowControl/>
              <w:spacing w:line="360" w:lineRule="auto"/>
              <w:jc w:val="left"/>
              <w:rPr>
                <w:rFonts w:ascii="宋体" w:hAnsi="宋体" w:eastAsia="宋体" w:cs="Times New Roman"/>
                <w:sz w:val="24"/>
              </w:rPr>
            </w:pPr>
            <w:r>
              <w:rPr>
                <w:rFonts w:hint="eastAsia" w:ascii="宋体" w:hAnsi="宋体" w:eastAsia="宋体" w:cs="Times New Roman"/>
                <w:sz w:val="24"/>
              </w:rPr>
              <w:t>供应商项目团队应构架合理，应能够承担本项目的工作要求。</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投标人技术团队须满足以下人员资质及数量要求：</w:t>
            </w:r>
          </w:p>
          <w:p>
            <w:pPr>
              <w:widowControl/>
              <w:spacing w:line="360" w:lineRule="auto"/>
              <w:jc w:val="left"/>
              <w:rPr>
                <w:rFonts w:ascii="宋体" w:hAnsi="宋体" w:eastAsia="宋体" w:cs="Times New Roman"/>
                <w:sz w:val="24"/>
              </w:rPr>
            </w:pPr>
            <w:r>
              <w:rPr>
                <w:rFonts w:hint="eastAsia" w:ascii="宋体" w:hAnsi="宋体" w:eastAsia="宋体" w:cs="Times New Roman"/>
                <w:sz w:val="24"/>
              </w:rPr>
              <w:t>（1）具有≥10年的软件开发、实施从业经验。</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（2）安全技术保障人员2名，人员具有：信息安全保障人员认证证书。</w:t>
            </w:r>
          </w:p>
          <w:p>
            <w:pPr>
              <w:widowControl w:val="0"/>
              <w:spacing w:before="78" w:beforeLines="25" w:after="78" w:afterLines="25" w:line="360" w:lineRule="auto"/>
              <w:ind w:firstLine="0"/>
              <w:jc w:val="both"/>
              <w:rPr>
                <w:rFonts w:ascii="仿宋" w:hAnsi="仿宋" w:eastAsia="宋体" w:cs="Times New Roman"/>
                <w:spacing w:val="10"/>
                <w:kern w:val="2"/>
                <w:sz w:val="21"/>
                <w:szCs w:val="24"/>
                <w:lang w:val="en-US" w:eastAsia="zh-CN" w:bidi="ar-SA"/>
              </w:rPr>
            </w:pPr>
            <w:r>
              <w:rPr>
                <w:rFonts w:hint="eastAsia" w:ascii="宋体" w:hAnsi="宋体" w:eastAsia="宋体" w:cs="宋体"/>
                <w:color w:val="000000"/>
                <w:spacing w:val="10"/>
                <w:kern w:val="0"/>
                <w:sz w:val="24"/>
                <w:szCs w:val="24"/>
                <w:lang w:val="en-US" w:eastAsia="zh-CN" w:bidi="ar-SA"/>
              </w:rPr>
              <w:t>注：岗位之间不可以兼任，如岗位重复，对一人多证的情况下，不重复计算证书。投标人须提供项目技术团队成员资质证书扫描件，以及在本单位任职的外部证明材料（如投标截止日之前六个月以内任意月份的代缴个税税单或参加社会保险的《投保单》或《社会保险参保人员证明》等。无提供的不得分。</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本项目全部满足得3分，不满足不得分。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restart"/>
            <w:vAlign w:val="center"/>
          </w:tcPr>
          <w:p>
            <w:pPr>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技术部分</w:t>
            </w:r>
          </w:p>
        </w:tc>
        <w:tc>
          <w:tcPr>
            <w:tcW w:w="1631"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培训方案</w:t>
            </w:r>
          </w:p>
        </w:tc>
        <w:tc>
          <w:tcPr>
            <w:tcW w:w="866" w:type="dxa"/>
            <w:shd w:val="clear" w:color="auto" w:fill="auto"/>
            <w:vAlign w:val="center"/>
          </w:tcPr>
          <w:p>
            <w:pPr>
              <w:tabs>
                <w:tab w:val="left" w:pos="0"/>
                <w:tab w:val="left" w:pos="720"/>
                <w:tab w:val="left" w:pos="1080"/>
              </w:tabs>
              <w:spacing w:line="360" w:lineRule="auto"/>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3分</w:t>
            </w:r>
          </w:p>
        </w:tc>
        <w:tc>
          <w:tcPr>
            <w:tcW w:w="6659" w:type="dxa"/>
            <w:shd w:val="clear" w:color="auto" w:fill="auto"/>
            <w:vAlign w:val="center"/>
          </w:tcPr>
          <w:p>
            <w:pPr>
              <w:widowControl/>
              <w:spacing w:line="360" w:lineRule="auto"/>
              <w:jc w:val="left"/>
              <w:rPr>
                <w:rFonts w:ascii="宋体" w:hAnsi="宋体" w:eastAsia="宋体" w:cs="Times New Roman"/>
                <w:sz w:val="24"/>
              </w:rPr>
            </w:pPr>
            <w:r>
              <w:rPr>
                <w:rFonts w:hint="eastAsia" w:ascii="宋体" w:hAnsi="宋体" w:eastAsia="宋体" w:cs="Times New Roman"/>
                <w:sz w:val="24"/>
              </w:rPr>
              <w:t>根据投标人提供的人员培训方案综合评审：方案完善、内容详细、可行性好得3分，方案较完善、内容较详细、可行性较好得2分，方案不够完善、内容不够详细、可行性差得1分，没有方案不得分。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spacing w:line="360" w:lineRule="auto"/>
              <w:jc w:val="center"/>
              <w:rPr>
                <w:rFonts w:ascii="宋体" w:hAnsi="宋体" w:eastAsia="宋体" w:cs="宋体"/>
                <w:color w:val="000000"/>
                <w:kern w:val="0"/>
                <w:sz w:val="24"/>
              </w:rPr>
            </w:pPr>
          </w:p>
        </w:tc>
        <w:tc>
          <w:tcPr>
            <w:tcW w:w="1631"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售后方案</w:t>
            </w:r>
          </w:p>
        </w:tc>
        <w:tc>
          <w:tcPr>
            <w:tcW w:w="866" w:type="dxa"/>
            <w:shd w:val="clear" w:color="auto" w:fill="auto"/>
            <w:vAlign w:val="center"/>
          </w:tcPr>
          <w:p>
            <w:pPr>
              <w:tabs>
                <w:tab w:val="left" w:pos="0"/>
                <w:tab w:val="left" w:pos="720"/>
                <w:tab w:val="left" w:pos="1080"/>
              </w:tabs>
              <w:spacing w:line="360" w:lineRule="auto"/>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8</w:t>
            </w:r>
            <w:r>
              <w:rPr>
                <w:rFonts w:cs="Times New Roman" w:asciiTheme="minorEastAsia" w:hAnsiTheme="minorEastAsia" w:eastAsiaTheme="minorEastAsia"/>
                <w:sz w:val="24"/>
              </w:rPr>
              <w:t>分</w:t>
            </w:r>
          </w:p>
        </w:tc>
        <w:tc>
          <w:tcPr>
            <w:tcW w:w="6659" w:type="dxa"/>
            <w:shd w:val="clear" w:color="auto" w:fill="auto"/>
            <w:vAlign w:val="center"/>
          </w:tcPr>
          <w:p>
            <w:pPr>
              <w:widowControl/>
              <w:spacing w:line="360" w:lineRule="auto"/>
              <w:jc w:val="left"/>
              <w:rPr>
                <w:rFonts w:ascii="宋体" w:hAnsi="宋体" w:eastAsia="宋体" w:cs="Times New Roman"/>
                <w:sz w:val="24"/>
              </w:rPr>
            </w:pPr>
            <w:r>
              <w:rPr>
                <w:rFonts w:hint="eastAsia" w:ascii="宋体" w:hAnsi="宋体" w:eastAsia="宋体" w:cs="Times New Roman"/>
                <w:sz w:val="24"/>
              </w:rPr>
              <w:t>根据投标人质保期内售后服务（响应时间，回访巡检方案、故障解决措施等内容）进行综合评分，内容科科学合理6-8分，内容完整但科学合理及可行性欠缺的得3-5分；其他或未提供0-2分。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spacing w:line="360" w:lineRule="auto"/>
              <w:jc w:val="center"/>
              <w:rPr>
                <w:rFonts w:ascii="宋体" w:hAnsi="宋体" w:eastAsia="宋体" w:cs="宋体"/>
                <w:color w:val="000000"/>
                <w:kern w:val="0"/>
                <w:sz w:val="24"/>
              </w:rPr>
            </w:pPr>
          </w:p>
        </w:tc>
        <w:tc>
          <w:tcPr>
            <w:tcW w:w="1631"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产品性能质量评价</w:t>
            </w:r>
          </w:p>
        </w:tc>
        <w:tc>
          <w:tcPr>
            <w:tcW w:w="866" w:type="dxa"/>
            <w:shd w:val="clear" w:color="auto" w:fill="auto"/>
            <w:vAlign w:val="center"/>
          </w:tcPr>
          <w:p>
            <w:pPr>
              <w:tabs>
                <w:tab w:val="left" w:pos="0"/>
                <w:tab w:val="left" w:pos="720"/>
                <w:tab w:val="left" w:pos="1080"/>
              </w:tabs>
              <w:spacing w:line="360" w:lineRule="auto"/>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5分</w:t>
            </w:r>
          </w:p>
        </w:tc>
        <w:tc>
          <w:tcPr>
            <w:tcW w:w="6659" w:type="dxa"/>
            <w:shd w:val="clear" w:color="auto" w:fill="auto"/>
            <w:vAlign w:val="center"/>
          </w:tcPr>
          <w:p>
            <w:pPr>
              <w:tabs>
                <w:tab w:val="left" w:pos="0"/>
                <w:tab w:val="left" w:pos="720"/>
                <w:tab w:val="left" w:pos="1080"/>
              </w:tabs>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对所投医院行政综合管理平台的先进性、实用性、安全性、开放性与标准化等进行评价。系统先进性、实用性、安全性、开放性与标准化等最佳为优5分；系统不具备先进性、实用性、安全性、开放性与标准化等其中一项为良2分；系统不具备先进性、实用性、安全性、开放性与标准化等两项及以上为较差0分</w:t>
            </w:r>
            <w:r>
              <w:rPr>
                <w:rFonts w:cs="Times New Roman" w:asciiTheme="minorEastAsia" w:hAnsiTheme="minorEastAsia" w:eastAsiaTheme="minorEastAsia"/>
                <w:sz w:val="24"/>
              </w:rPr>
              <w:t>。</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spacing w:line="360" w:lineRule="auto"/>
              <w:jc w:val="center"/>
              <w:rPr>
                <w:rFonts w:ascii="宋体" w:hAnsi="宋体" w:eastAsia="宋体" w:cs="宋体"/>
                <w:color w:val="000000"/>
                <w:kern w:val="0"/>
                <w:sz w:val="24"/>
              </w:rPr>
            </w:pPr>
          </w:p>
        </w:tc>
        <w:tc>
          <w:tcPr>
            <w:tcW w:w="1631" w:type="dxa"/>
            <w:vMerge w:val="continue"/>
            <w:shd w:val="clear" w:color="auto" w:fill="auto"/>
            <w:vAlign w:val="center"/>
          </w:tcPr>
          <w:p>
            <w:pPr>
              <w:widowControl/>
              <w:spacing w:line="360" w:lineRule="auto"/>
              <w:jc w:val="center"/>
              <w:rPr>
                <w:rFonts w:ascii="宋体" w:hAnsi="宋体" w:eastAsia="宋体" w:cs="宋体"/>
                <w:color w:val="000000"/>
                <w:kern w:val="0"/>
                <w:sz w:val="24"/>
              </w:rPr>
            </w:pPr>
          </w:p>
        </w:tc>
        <w:tc>
          <w:tcPr>
            <w:tcW w:w="866" w:type="dxa"/>
            <w:shd w:val="clear" w:color="auto" w:fill="auto"/>
            <w:vAlign w:val="center"/>
          </w:tcPr>
          <w:p>
            <w:pPr>
              <w:tabs>
                <w:tab w:val="left" w:pos="0"/>
                <w:tab w:val="left" w:pos="720"/>
                <w:tab w:val="left" w:pos="1080"/>
              </w:tabs>
              <w:spacing w:line="360" w:lineRule="auto"/>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5分</w:t>
            </w:r>
          </w:p>
        </w:tc>
        <w:tc>
          <w:tcPr>
            <w:tcW w:w="6659" w:type="dxa"/>
            <w:shd w:val="clear" w:color="auto" w:fill="auto"/>
            <w:vAlign w:val="center"/>
          </w:tcPr>
          <w:p>
            <w:pPr>
              <w:tabs>
                <w:tab w:val="left" w:pos="0"/>
                <w:tab w:val="left" w:pos="720"/>
                <w:tab w:val="left" w:pos="1080"/>
              </w:tabs>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对所投系统的各模块功能及参数的符合程度进行评价。各功能模块均有响应，功能合理为优</w:t>
            </w:r>
            <w:r>
              <w:rPr>
                <w:rFonts w:cs="Times New Roman" w:asciiTheme="minorEastAsia" w:hAnsiTheme="minorEastAsia" w:eastAsiaTheme="minorEastAsia"/>
                <w:sz w:val="24"/>
              </w:rPr>
              <w:t>5</w:t>
            </w:r>
            <w:r>
              <w:rPr>
                <w:rFonts w:hint="eastAsia" w:cs="Times New Roman" w:asciiTheme="minorEastAsia" w:hAnsiTheme="minorEastAsia" w:eastAsiaTheme="minorEastAsia"/>
                <w:sz w:val="24"/>
              </w:rPr>
              <w:t>分；各功能模块部分有缺漏，功能合理为良</w:t>
            </w:r>
            <w:r>
              <w:rPr>
                <w:rFonts w:cs="Times New Roman" w:asciiTheme="minorEastAsia" w:hAnsiTheme="minorEastAsia" w:eastAsiaTheme="minorEastAsia"/>
                <w:sz w:val="24"/>
              </w:rPr>
              <w:t>2</w:t>
            </w:r>
            <w:r>
              <w:rPr>
                <w:rFonts w:hint="eastAsia" w:cs="Times New Roman" w:asciiTheme="minorEastAsia" w:hAnsiTheme="minorEastAsia" w:eastAsiaTheme="minorEastAsia"/>
                <w:sz w:val="24"/>
              </w:rPr>
              <w:t>分；各功能模块部分有缺漏，功能不合理为差</w:t>
            </w:r>
            <w:r>
              <w:rPr>
                <w:rFonts w:cs="Times New Roman" w:asciiTheme="minorEastAsia" w:hAnsiTheme="minorEastAsia" w:eastAsiaTheme="minorEastAsia"/>
                <w:sz w:val="24"/>
              </w:rPr>
              <w:t>0</w:t>
            </w:r>
            <w:r>
              <w:rPr>
                <w:rFonts w:hint="eastAsia" w:cs="Times New Roman" w:asciiTheme="minorEastAsia" w:hAnsiTheme="minorEastAsia" w:eastAsiaTheme="minorEastAsia"/>
                <w:sz w:val="24"/>
              </w:rPr>
              <w:t>分</w:t>
            </w:r>
            <w:r>
              <w:rPr>
                <w:rFonts w:cs="Times New Roman" w:asciiTheme="minorEastAsia" w:hAnsiTheme="minorEastAsia" w:eastAsiaTheme="minorEastAsia"/>
                <w:sz w:val="24"/>
              </w:rPr>
              <w:t>。</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dxa"/>
            <w:vMerge w:val="continue"/>
            <w:vAlign w:val="center"/>
          </w:tcPr>
          <w:p>
            <w:pPr>
              <w:widowControl/>
              <w:spacing w:line="360" w:lineRule="auto"/>
              <w:jc w:val="center"/>
              <w:rPr>
                <w:rFonts w:ascii="宋体" w:hAnsi="宋体" w:eastAsia="宋体" w:cs="宋体"/>
                <w:color w:val="000000"/>
                <w:kern w:val="0"/>
                <w:sz w:val="24"/>
              </w:rPr>
            </w:pPr>
          </w:p>
        </w:tc>
        <w:tc>
          <w:tcPr>
            <w:tcW w:w="1631" w:type="dxa"/>
            <w:vMerge w:val="restart"/>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技术核心参数响应情况（共29分）</w:t>
            </w: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2</w:t>
            </w:r>
            <w:r>
              <w:rPr>
                <w:rFonts w:hint="eastAsia" w:ascii="宋体" w:hAnsi="宋体" w:eastAsia="宋体" w:cs="宋体"/>
                <w:color w:val="000000"/>
                <w:kern w:val="0"/>
                <w:sz w:val="24"/>
              </w:rPr>
              <w:t>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基于先进主流技术开发，支持Safari、Chrome、火狐、IE等多种主流浏览器。（提供以上功能至少2张符合要求的系统使用截图，不提供本项不得分）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传阅文件附件可由传阅的所有参与人在线编辑、修订，并保留痕迹，可编辑文件格式应支持Word、Excel及WPS文件。（提供以上功能至少2张符合要求的系统使用截图，不提供本项不得分）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收文附件支持OFD格式，并能在客户端不安装软件的情况下直接打开查看文件内容。（提供以上功能至少2张符合要求的系统使用截图，不提供本项不得分）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根据医院的不同业务，汇集各类有价值的信息，建立分类的医院知识库，形成医院的知识地图，将人员、流程和业务知识紧密集成在一起，达到信息共享、支持管理的目的。系统需提供思维导图、月刊式、传统式、制度式、地图引导式、时间轴多维视图模式。（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会议可新建或关联或编辑修改会议中提交中的督办事项、议题、流程、子流程、发起的日程、任务，通过会议室管理统一进行流转管理，会议系统与督办事项的登记、查询、跟踪、反馈管理实现一体化管理。（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领导可以方便地安排任务（交办），经办人收到领导交办的任务后，进行工作的组织（承办），并随时可方便地向任务交办人（领导）进行进程汇报。（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提供B/S架构基于Web页面的流程设计器，可实现零编码图形化的流程设计功能，并可提供便于流程使用者进行流程全貌查看的图形式流程显示方式。（提供以上功能至少</w:t>
            </w:r>
            <w:r>
              <w:rPr>
                <w:rFonts w:ascii="宋体" w:hAnsi="宋体" w:eastAsia="宋体" w:cs="宋体"/>
                <w:color w:val="000000"/>
                <w:kern w:val="0"/>
                <w:sz w:val="24"/>
              </w:rPr>
              <w:t>2</w:t>
            </w:r>
            <w:r>
              <w:rPr>
                <w:rFonts w:hint="eastAsia" w:ascii="宋体" w:hAnsi="宋体" w:eastAsia="宋体" w:cs="宋体"/>
                <w:color w:val="000000"/>
                <w:kern w:val="0"/>
                <w:sz w:val="24"/>
              </w:rPr>
              <w:t>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系统内所有流程的效能分析统计，可按照个人和科室待办、已办、超时、知会、催办流程进行分类，通过点击图表中的相关流程统计图，能快速进入到一类事件中进行批量审批。（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B/S架构基于Web页面的流程设计器，可实现零编码图形化的流程设计功能，并可提供便于流程使用者进行流程全貌查看的图形式流程显示方式。（提供以上功能至少2张符合要求的系统使用截图，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2" w:type="dxa"/>
            <w:vMerge w:val="continue"/>
            <w:vAlign w:val="center"/>
          </w:tcPr>
          <w:p>
            <w:pPr>
              <w:widowControl/>
              <w:spacing w:line="360" w:lineRule="auto"/>
              <w:jc w:val="left"/>
              <w:rPr>
                <w:rFonts w:ascii="宋体" w:hAnsi="宋体" w:eastAsia="宋体" w:cs="宋体"/>
                <w:color w:val="000000"/>
                <w:kern w:val="0"/>
                <w:sz w:val="24"/>
              </w:rPr>
            </w:pPr>
          </w:p>
        </w:tc>
        <w:tc>
          <w:tcPr>
            <w:tcW w:w="1631" w:type="dxa"/>
            <w:vMerge w:val="continue"/>
            <w:vAlign w:val="center"/>
          </w:tcPr>
          <w:p>
            <w:pPr>
              <w:widowControl/>
              <w:spacing w:line="360" w:lineRule="auto"/>
              <w:jc w:val="left"/>
              <w:rPr>
                <w:rFonts w:ascii="宋体" w:hAnsi="宋体" w:eastAsia="宋体" w:cs="宋体"/>
                <w:color w:val="000000"/>
                <w:kern w:val="0"/>
                <w:sz w:val="24"/>
              </w:rPr>
            </w:pPr>
          </w:p>
        </w:tc>
        <w:tc>
          <w:tcPr>
            <w:tcW w:w="866" w:type="dxa"/>
            <w:shd w:val="clear" w:color="auto" w:fill="auto"/>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3分</w:t>
            </w:r>
          </w:p>
        </w:tc>
        <w:tc>
          <w:tcPr>
            <w:tcW w:w="6659" w:type="dxa"/>
            <w:shd w:val="clear" w:color="auto" w:fill="auto"/>
            <w:vAlign w:val="center"/>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企业微信端需与桌面端无缝融合，实现同一套组织架构，系统用户和企业微信用户统一管理（提供截图得</w:t>
            </w:r>
            <w:r>
              <w:rPr>
                <w:rFonts w:ascii="宋体" w:hAnsi="宋体" w:eastAsia="宋体" w:cs="宋体"/>
                <w:color w:val="000000"/>
                <w:kern w:val="0"/>
                <w:sz w:val="24"/>
              </w:rPr>
              <w:t>2</w:t>
            </w:r>
            <w:r>
              <w:rPr>
                <w:rFonts w:hint="eastAsia" w:ascii="宋体" w:hAnsi="宋体" w:eastAsia="宋体" w:cs="宋体"/>
                <w:color w:val="000000"/>
                <w:kern w:val="0"/>
                <w:sz w:val="24"/>
              </w:rPr>
              <w:t>分，不提供本项不得分）</w:t>
            </w:r>
          </w:p>
        </w:tc>
        <w:tc>
          <w:tcPr>
            <w:tcW w:w="561" w:type="dxa"/>
            <w:shd w:val="clear" w:color="auto" w:fill="auto"/>
            <w:vAlign w:val="center"/>
          </w:tcPr>
          <w:p>
            <w:pPr>
              <w:widowControl/>
              <w:spacing w:line="360" w:lineRule="auto"/>
              <w:jc w:val="left"/>
              <w:rPr>
                <w:rFonts w:ascii="宋体" w:hAnsi="宋体" w:eastAsia="宋体" w:cs="宋体"/>
                <w:b/>
                <w:bCs/>
                <w:color w:val="000000"/>
                <w:kern w:val="0"/>
                <w:sz w:val="24"/>
              </w:rPr>
            </w:pPr>
          </w:p>
        </w:tc>
        <w:tc>
          <w:tcPr>
            <w:tcW w:w="573" w:type="dxa"/>
            <w:vAlign w:val="center"/>
          </w:tcPr>
          <w:p>
            <w:pPr>
              <w:widowControl/>
              <w:spacing w:line="360" w:lineRule="auto"/>
              <w:jc w:val="left"/>
              <w:rPr>
                <w:rFonts w:ascii="宋体" w:hAnsi="宋体" w:eastAsia="宋体" w:cs="宋体"/>
                <w:b/>
                <w:bCs/>
                <w:color w:val="000000"/>
                <w:kern w:val="0"/>
                <w:sz w:val="24"/>
              </w:rPr>
            </w:pPr>
          </w:p>
        </w:tc>
        <w:tc>
          <w:tcPr>
            <w:tcW w:w="567" w:type="dxa"/>
            <w:vAlign w:val="center"/>
          </w:tcPr>
          <w:p>
            <w:pPr>
              <w:widowControl/>
              <w:spacing w:line="360" w:lineRule="auto"/>
              <w:jc w:val="left"/>
              <w:rPr>
                <w:rFonts w:ascii="宋体" w:hAnsi="宋体" w:eastAsia="宋体" w:cs="宋体"/>
                <w:b/>
                <w:bCs/>
                <w:color w:val="000000"/>
                <w:kern w:val="0"/>
                <w:sz w:val="24"/>
              </w:rPr>
            </w:pPr>
          </w:p>
        </w:tc>
        <w:tc>
          <w:tcPr>
            <w:tcW w:w="708" w:type="dxa"/>
            <w:vAlign w:val="center"/>
          </w:tcPr>
          <w:p>
            <w:pPr>
              <w:widowControl/>
              <w:spacing w:line="360" w:lineRule="auto"/>
              <w:jc w:val="left"/>
              <w:rPr>
                <w:rFonts w:ascii="宋体" w:hAnsi="宋体" w:eastAsia="宋体" w:cs="宋体"/>
                <w:b/>
                <w:bCs/>
                <w:color w:val="000000"/>
                <w:kern w:val="0"/>
                <w:sz w:val="24"/>
              </w:rPr>
            </w:pPr>
          </w:p>
        </w:tc>
      </w:tr>
    </w:tbl>
    <w:p>
      <w:pPr>
        <w:rPr>
          <w:rFonts w:ascii="Times New Roman" w:hAnsi="Times New Roman" w:eastAsia="宋体" w:cs="Times New Roman"/>
        </w:rPr>
      </w:pPr>
    </w:p>
    <w:p>
      <w:pPr>
        <w:keepNext w:val="0"/>
        <w:keepLines w:val="0"/>
        <w:widowControl w:val="0"/>
        <w:suppressLineNumbers w:val="0"/>
        <w:spacing w:before="0" w:beforeAutospacing="0" w:after="0" w:afterAutospacing="0" w:line="400" w:lineRule="exact"/>
        <w:ind w:left="0" w:right="0"/>
        <w:jc w:val="center"/>
        <w:outlineLvl w:val="9"/>
        <w:rPr>
          <w:rFonts w:hint="eastAsia" w:ascii="黑体" w:hAnsi="楷体_GB2312" w:eastAsia="黑体" w:cs="黑体"/>
          <w:sz w:val="30"/>
          <w:szCs w:val="30"/>
          <w:lang w:val="en-US"/>
        </w:rPr>
      </w:pPr>
    </w:p>
    <w:p>
      <w:pPr>
        <w:pStyle w:val="2"/>
        <w:numPr>
          <w:ilvl w:val="0"/>
          <w:numId w:val="0"/>
        </w:numPr>
        <w:rPr>
          <w:rFonts w:hint="eastAsia" w:ascii="黑体" w:hAnsi="楷体_GB2312" w:eastAsia="黑体" w:cs="黑体"/>
          <w:kern w:val="2"/>
          <w:sz w:val="30"/>
          <w:szCs w:val="30"/>
          <w:lang w:val="en-US" w:eastAsia="zh-CN"/>
        </w:rPr>
        <w:sectPr>
          <w:pgSz w:w="16838" w:h="11906" w:orient="landscape"/>
          <w:pgMar w:top="1800" w:right="1440" w:bottom="1800" w:left="1440" w:header="851" w:footer="992" w:gutter="0"/>
          <w:cols w:space="425" w:num="1"/>
          <w:docGrid w:type="lines" w:linePitch="312" w:charSpace="0"/>
        </w:sectPr>
      </w:pPr>
    </w:p>
    <w:p>
      <w:pPr>
        <w:spacing w:line="360" w:lineRule="exact"/>
        <w:jc w:val="center"/>
        <w:outlineLvl w:val="0"/>
        <w:rPr>
          <w:rFonts w:ascii="黑体" w:hAnsi="宋体" w:eastAsia="黑体"/>
          <w:sz w:val="30"/>
          <w:szCs w:val="30"/>
        </w:rPr>
      </w:pPr>
      <w:r>
        <w:rPr>
          <w:rFonts w:hint="eastAsia" w:ascii="黑体" w:hAnsi="宋体" w:eastAsia="黑体"/>
          <w:sz w:val="30"/>
          <w:szCs w:val="30"/>
        </w:rPr>
        <w:t>第六章　合同书（格式）</w:t>
      </w:r>
    </w:p>
    <w:p>
      <w:pPr>
        <w:spacing w:line="420" w:lineRule="exact"/>
        <w:rPr>
          <w:rFonts w:asciiTheme="minorEastAsia" w:hAnsiTheme="minorEastAsia" w:eastAsiaTheme="minorEastAsia"/>
          <w:bCs/>
          <w:sz w:val="24"/>
          <w:u w:val="single"/>
        </w:rPr>
      </w:pPr>
      <w:r>
        <w:rPr>
          <w:rFonts w:hint="eastAsia" w:asciiTheme="minorEastAsia" w:hAnsiTheme="minorEastAsia" w:eastAsiaTheme="minorEastAsia"/>
          <w:bCs/>
          <w:sz w:val="24"/>
        </w:rPr>
        <w:t>甲方（采购单位）：</w:t>
      </w:r>
      <w:r>
        <w:rPr>
          <w:rFonts w:hint="eastAsia" w:asciiTheme="minorEastAsia" w:hAnsiTheme="minorEastAsia" w:eastAsiaTheme="minorEastAsia"/>
          <w:bCs/>
          <w:sz w:val="24"/>
          <w:u w:val="single"/>
        </w:rPr>
        <w:t>　　　　　　　　　　　　　　　　　　</w:t>
      </w:r>
    </w:p>
    <w:p>
      <w:pPr>
        <w:spacing w:line="420" w:lineRule="exact"/>
        <w:rPr>
          <w:rFonts w:asciiTheme="minorEastAsia" w:hAnsiTheme="minorEastAsia" w:eastAsiaTheme="minorEastAsia"/>
          <w:bCs/>
          <w:sz w:val="24"/>
          <w:u w:val="single"/>
        </w:rPr>
      </w:pPr>
      <w:r>
        <w:rPr>
          <w:rFonts w:hint="eastAsia" w:asciiTheme="minorEastAsia" w:hAnsiTheme="minorEastAsia" w:eastAsiaTheme="minorEastAsia"/>
          <w:bCs/>
          <w:sz w:val="24"/>
        </w:rPr>
        <w:t>乙方（中标单位）：</w:t>
      </w:r>
      <w:r>
        <w:rPr>
          <w:rFonts w:hint="eastAsia" w:asciiTheme="minorEastAsia" w:hAnsiTheme="minorEastAsia" w:eastAsiaTheme="minorEastAsia"/>
          <w:bCs/>
          <w:sz w:val="24"/>
          <w:u w:val="single"/>
        </w:rPr>
        <w:t>　　　　　　　　　　　　　　　　　　</w:t>
      </w:r>
    </w:p>
    <w:p>
      <w:pPr>
        <w:spacing w:line="400" w:lineRule="exact"/>
        <w:jc w:val="center"/>
        <w:rPr>
          <w:rFonts w:ascii="楷体_GB2312" w:hAnsi="宋体" w:eastAsia="楷体_GB2312"/>
          <w:b/>
          <w:sz w:val="28"/>
          <w:szCs w:val="28"/>
          <w:lang w:val="de-DE"/>
        </w:rPr>
      </w:pP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根据《中华人民共和国政府采购法》、《中华人民共和国民法典》等法律法规的规定，甲乙双方按照</w:t>
      </w:r>
      <w:r>
        <w:rPr>
          <w:rFonts w:hint="eastAsia" w:asciiTheme="minorEastAsia" w:hAnsiTheme="minorEastAsia" w:eastAsiaTheme="minorEastAsia"/>
          <w:sz w:val="24"/>
          <w:lang w:val="en-US" w:eastAsia="zh-CN"/>
        </w:rPr>
        <w:t>公开招标</w:t>
      </w:r>
      <w:r>
        <w:rPr>
          <w:rFonts w:hint="eastAsia" w:asciiTheme="minorEastAsia" w:hAnsiTheme="minorEastAsia" w:eastAsiaTheme="minorEastAsia"/>
          <w:sz w:val="24"/>
          <w:lang w:val="zh-CN"/>
        </w:rPr>
        <w:t>采购结果签订本合同。</w:t>
      </w:r>
    </w:p>
    <w:p>
      <w:pPr>
        <w:spacing w:line="400" w:lineRule="exact"/>
        <w:rPr>
          <w:rFonts w:ascii="楷体_GB2312" w:eastAsia="楷体_GB2312"/>
          <w:sz w:val="24"/>
        </w:rPr>
      </w:pPr>
    </w:p>
    <w:p>
      <w:pPr>
        <w:spacing w:line="400" w:lineRule="exact"/>
        <w:outlineLvl w:val="1"/>
        <w:rPr>
          <w:rFonts w:ascii="黑体" w:hAnsi="黑体" w:eastAsia="黑体"/>
          <w:sz w:val="24"/>
        </w:rPr>
      </w:pPr>
      <w:r>
        <w:rPr>
          <w:rFonts w:hint="eastAsia" w:ascii="黑体" w:hAnsi="黑体" w:eastAsia="黑体"/>
          <w:sz w:val="24"/>
        </w:rPr>
        <w:t>第一条　采购内容</w:t>
      </w:r>
    </w:p>
    <w:p>
      <w:pPr>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1、项目名称（项目编号）：</w:t>
      </w:r>
      <w:r>
        <w:rPr>
          <w:rFonts w:hint="eastAsia" w:asciiTheme="minorEastAsia" w:hAnsiTheme="minorEastAsia" w:eastAsiaTheme="minorEastAsia"/>
          <w:sz w:val="24"/>
          <w:u w:val="single"/>
        </w:rPr>
        <w:t>　　　　　　　　　　　　　　　　　　　　</w:t>
      </w:r>
    </w:p>
    <w:p>
      <w:pPr>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2、项目采购清单（包含货物名称、规格、型号、数量、价格）：</w:t>
      </w:r>
      <w:r>
        <w:rPr>
          <w:rFonts w:hint="eastAsia" w:asciiTheme="minorEastAsia" w:hAnsiTheme="minorEastAsia" w:eastAsiaTheme="minorEastAsia"/>
          <w:sz w:val="24"/>
          <w:u w:val="single"/>
        </w:rPr>
        <w:t>　　　　　　　　　　　　　　　　　　　　　　　　</w:t>
      </w:r>
    </w:p>
    <w:p>
      <w:pPr>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3、其他：</w:t>
      </w:r>
      <w:r>
        <w:rPr>
          <w:rFonts w:hint="eastAsia" w:asciiTheme="minorEastAsia" w:hAnsiTheme="minorEastAsia" w:eastAsiaTheme="minorEastAsia"/>
          <w:sz w:val="24"/>
          <w:u w:val="single"/>
        </w:rPr>
        <w:t>　　　　　　　　　　　　　　　　　　　　　　　　　　　　</w:t>
      </w:r>
    </w:p>
    <w:p>
      <w:pPr>
        <w:autoSpaceDE w:val="0"/>
        <w:autoSpaceDN w:val="0"/>
        <w:adjustRightInd w:val="0"/>
        <w:spacing w:line="400" w:lineRule="exact"/>
        <w:jc w:val="left"/>
        <w:outlineLvl w:val="1"/>
        <w:rPr>
          <w:rFonts w:ascii="黑体" w:hAnsi="黑体" w:eastAsia="黑体"/>
          <w:sz w:val="24"/>
          <w:lang w:val="zh-CN"/>
        </w:rPr>
      </w:pPr>
      <w:r>
        <w:rPr>
          <w:rFonts w:hint="eastAsia" w:ascii="黑体" w:hAnsi="黑体" w:eastAsia="黑体"/>
          <w:bCs/>
          <w:sz w:val="24"/>
          <w:lang w:val="zh-CN"/>
        </w:rPr>
        <w:t>第二条　合同总价款</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本合同人民币总价款为</w:t>
      </w:r>
      <w:r>
        <w:rPr>
          <w:rFonts w:hint="eastAsia" w:asciiTheme="minorEastAsia" w:hAnsiTheme="minorEastAsia" w:eastAsiaTheme="minorEastAsia"/>
          <w:sz w:val="24"/>
          <w:u w:val="single"/>
          <w:lang w:val="zh-CN"/>
        </w:rPr>
        <w:t>　　　　　　　</w:t>
      </w:r>
      <w:r>
        <w:rPr>
          <w:rFonts w:hint="eastAsia" w:asciiTheme="minorEastAsia" w:hAnsiTheme="minorEastAsia" w:eastAsiaTheme="minorEastAsia"/>
          <w:sz w:val="24"/>
          <w:lang w:val="zh-CN"/>
        </w:rPr>
        <w:t>（小写），</w:t>
      </w:r>
      <w:r>
        <w:rPr>
          <w:rFonts w:hint="eastAsia" w:asciiTheme="minorEastAsia" w:hAnsiTheme="minorEastAsia" w:eastAsiaTheme="minorEastAsia"/>
          <w:sz w:val="24"/>
          <w:u w:val="single"/>
          <w:lang w:val="zh-CN"/>
        </w:rPr>
        <w:t>　　　　　　　　</w:t>
      </w:r>
      <w:r>
        <w:rPr>
          <w:rFonts w:hint="eastAsia" w:asciiTheme="minorEastAsia" w:hAnsiTheme="minorEastAsia" w:eastAsiaTheme="minorEastAsia"/>
          <w:sz w:val="24"/>
          <w:lang w:val="zh-CN"/>
        </w:rPr>
        <w:t>（大写）。</w:t>
      </w: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hint="eastAsia" w:cs="宋体" w:asciiTheme="minorEastAsia" w:hAnsiTheme="minorEastAsia" w:eastAsiaTheme="minorEastAsia"/>
          <w:bCs/>
          <w:kern w:val="0"/>
          <w:sz w:val="24"/>
          <w:lang w:val="zh-CN"/>
        </w:rPr>
        <w:t>按实结算项目的结算金额以项目完成后审计部门的审计结果作为结算依据。</w:t>
      </w:r>
      <w:r>
        <w:rPr>
          <w:rFonts w:hint="eastAsia" w:asciiTheme="minorEastAsia" w:hAnsiTheme="minorEastAsia" w:eastAsiaTheme="minorEastAsia"/>
          <w:sz w:val="24"/>
        </w:rPr>
        <w:t>）</w:t>
      </w: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分项价款如下：</w:t>
      </w:r>
    </w:p>
    <w:p>
      <w:pPr>
        <w:autoSpaceDE w:val="0"/>
        <w:autoSpaceDN w:val="0"/>
        <w:adjustRightInd w:val="0"/>
        <w:spacing w:line="400" w:lineRule="exact"/>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　　　　　　　　　　　　　　　　　　　　　　　　　　　　　　　　　　　</w:t>
      </w:r>
    </w:p>
    <w:p>
      <w:pPr>
        <w:autoSpaceDE w:val="0"/>
        <w:autoSpaceDN w:val="0"/>
        <w:adjustRightInd w:val="0"/>
        <w:spacing w:line="400" w:lineRule="exact"/>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　　　　　　　　　　　　　　　　　　　　　　　　　　　　　　　　　　　</w:t>
      </w:r>
    </w:p>
    <w:p>
      <w:pPr>
        <w:autoSpaceDE w:val="0"/>
        <w:autoSpaceDN w:val="0"/>
        <w:adjustRightInd w:val="0"/>
        <w:spacing w:line="400" w:lineRule="exact"/>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本合同总价款是货物设计、制造、包装、仓储、运输装卸</w:t>
      </w:r>
      <w:r>
        <w:rPr>
          <w:rFonts w:hint="eastAsia" w:cs="楷体_GB2312" w:asciiTheme="minorEastAsia" w:hAnsiTheme="minorEastAsia" w:eastAsiaTheme="minorEastAsia"/>
          <w:sz w:val="24"/>
        </w:rPr>
        <w:t>、保险、安装、调试及其材料及验收合格之前保管及保修期内备品备件、专用工具、伴随服务、技术图纸资料、人员培训发生的所有含税费用、支付给员工的工资和国家强制缴纳的各种社会保障资金</w:t>
      </w:r>
      <w:r>
        <w:rPr>
          <w:rFonts w:hint="eastAsia" w:asciiTheme="minorEastAsia" w:hAnsiTheme="minorEastAsia" w:eastAsiaTheme="minorEastAsia"/>
          <w:bCs/>
          <w:sz w:val="24"/>
        </w:rPr>
        <w:t>，以</w:t>
      </w:r>
      <w:r>
        <w:rPr>
          <w:rFonts w:hint="eastAsia" w:asciiTheme="minorEastAsia" w:hAnsiTheme="minorEastAsia" w:eastAsiaTheme="minorEastAsia"/>
          <w:sz w:val="24"/>
        </w:rPr>
        <w:t>及投标人认为需要的其他费用等。</w:t>
      </w: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本合同总价款还包含乙方应当提供的伴随服务/售后服务费用。</w:t>
      </w: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本合同执行期间合同总价款不变。</w:t>
      </w:r>
      <w:r>
        <w:rPr>
          <w:rFonts w:hint="eastAsia" w:asciiTheme="minorEastAsia" w:hAnsiTheme="minorEastAsia" w:eastAsiaTheme="minorEastAsia"/>
          <w:sz w:val="24"/>
          <w:lang w:val="zh-CN"/>
        </w:rPr>
        <w:t>（有另行规定的除外。）</w:t>
      </w:r>
    </w:p>
    <w:p>
      <w:pPr>
        <w:autoSpaceDE w:val="0"/>
        <w:autoSpaceDN w:val="0"/>
        <w:adjustRightInd w:val="0"/>
        <w:spacing w:line="400" w:lineRule="exact"/>
        <w:outlineLvl w:val="1"/>
        <w:rPr>
          <w:rFonts w:ascii="黑体" w:hAnsi="黑体" w:eastAsia="黑体"/>
          <w:bCs/>
          <w:sz w:val="24"/>
          <w:lang w:val="zh-CN"/>
        </w:rPr>
      </w:pPr>
      <w:r>
        <w:rPr>
          <w:rFonts w:hint="eastAsia" w:ascii="黑体" w:hAnsi="黑体" w:eastAsia="黑体"/>
          <w:bCs/>
          <w:sz w:val="24"/>
          <w:lang w:val="zh-CN"/>
        </w:rPr>
        <w:t>第三条  履约保证金的缴纳和退还</w:t>
      </w:r>
    </w:p>
    <w:p>
      <w:pPr>
        <w:tabs>
          <w:tab w:val="left" w:pos="945"/>
          <w:tab w:val="left" w:pos="2100"/>
        </w:tabs>
        <w:spacing w:line="400" w:lineRule="exact"/>
        <w:ind w:firstLine="480" w:firstLineChars="200"/>
        <w:rPr>
          <w:rFonts w:ascii="宋体" w:hAnsi="宋体"/>
          <w:bCs/>
          <w:sz w:val="24"/>
        </w:rPr>
      </w:pPr>
      <w:r>
        <w:rPr>
          <w:rFonts w:hint="eastAsia" w:ascii="宋体" w:hAnsi="宋体"/>
          <w:bCs/>
          <w:sz w:val="24"/>
        </w:rPr>
        <w:t>本项目是/否向采购人缴纳履约保证金： 。</w:t>
      </w:r>
    </w:p>
    <w:p>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履约保证金缴纳金额：元。</w:t>
      </w:r>
    </w:p>
    <w:p>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履约保证金的缴纳时间：，缴纳形式：。</w:t>
      </w:r>
    </w:p>
    <w:p>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履约保证金的退付时间：，退付办法：。</w:t>
      </w:r>
    </w:p>
    <w:p>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履约保证金不予退还的情形：。</w:t>
      </w:r>
    </w:p>
    <w:p>
      <w:pPr>
        <w:tabs>
          <w:tab w:val="left" w:pos="945"/>
          <w:tab w:val="left" w:pos="2100"/>
        </w:tabs>
        <w:spacing w:line="400" w:lineRule="exact"/>
        <w:ind w:firstLine="480" w:firstLineChars="200"/>
        <w:rPr>
          <w:rFonts w:ascii="宋体"/>
          <w:bCs/>
          <w:sz w:val="24"/>
        </w:rPr>
      </w:pPr>
      <w:r>
        <w:rPr>
          <w:rFonts w:hint="eastAsia" w:ascii="宋体" w:hAnsi="宋体"/>
          <w:bCs/>
          <w:sz w:val="24"/>
        </w:rPr>
        <w:t>逾期退还履约保证金的违约责任：。</w:t>
      </w:r>
    </w:p>
    <w:p>
      <w:pPr>
        <w:autoSpaceDE w:val="0"/>
        <w:autoSpaceDN w:val="0"/>
        <w:adjustRightInd w:val="0"/>
        <w:spacing w:line="400" w:lineRule="exact"/>
        <w:outlineLvl w:val="1"/>
        <w:rPr>
          <w:rFonts w:ascii="黑体" w:hAnsi="黑体" w:eastAsia="黑体"/>
          <w:sz w:val="24"/>
          <w:lang w:val="zh-CN"/>
        </w:rPr>
      </w:pPr>
      <w:r>
        <w:rPr>
          <w:rFonts w:hint="eastAsia" w:ascii="黑体" w:hAnsi="黑体" w:eastAsia="黑体"/>
          <w:bCs/>
          <w:sz w:val="24"/>
          <w:lang w:val="zh-CN"/>
        </w:rPr>
        <w:t>第四条　组成本合同的有关文件</w:t>
      </w:r>
    </w:p>
    <w:p>
      <w:pPr>
        <w:autoSpaceDE w:val="0"/>
        <w:autoSpaceDN w:val="0"/>
        <w:adjustRightInd w:val="0"/>
        <w:spacing w:line="40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下列关于本次采购活动方式相适应的文件及有关附件是本合同不可分割的组成部分，与本合同具有同等法律效力，这些文件包括但不限于：</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（1）招标文件；</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（2）投标文件；</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（3）中标通知书；</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（4）中标人在投标、评标过程中所作其它有关承诺、声明、书面澄清；</w:t>
      </w:r>
    </w:p>
    <w:p>
      <w:pPr>
        <w:autoSpaceDE w:val="0"/>
        <w:autoSpaceDN w:val="0"/>
        <w:adjustRightInd w:val="0"/>
        <w:spacing w:line="400" w:lineRule="exact"/>
        <w:ind w:firstLine="480" w:firstLineChars="200"/>
        <w:jc w:val="left"/>
        <w:outlineLvl w:val="2"/>
        <w:rPr>
          <w:rFonts w:asciiTheme="minorEastAsia" w:hAnsiTheme="minorEastAsia" w:eastAsiaTheme="minorEastAsia"/>
          <w:sz w:val="24"/>
          <w:lang w:val="zh-CN"/>
        </w:rPr>
      </w:pPr>
      <w:r>
        <w:rPr>
          <w:rFonts w:hint="eastAsia" w:asciiTheme="minorEastAsia" w:hAnsiTheme="minorEastAsia" w:eastAsiaTheme="minorEastAsia"/>
          <w:sz w:val="24"/>
          <w:lang w:val="zh-CN"/>
        </w:rPr>
        <w:t>（5）甲乙双方商定的其他文件等。</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第五条　权利保证</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乙方应保证甲方在合同履行期限内不受第三方提出侵犯其专利权、版权、商标权或其他权利的起诉。一旦出现侵权，乙方应承担全部责任。</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第六条　质量保证</w:t>
      </w:r>
    </w:p>
    <w:p>
      <w:pPr>
        <w:autoSpaceDE w:val="0"/>
        <w:autoSpaceDN w:val="0"/>
        <w:adjustRightInd w:val="0"/>
        <w:spacing w:line="400" w:lineRule="exact"/>
        <w:ind w:firstLine="480" w:firstLineChars="200"/>
        <w:jc w:val="left"/>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、乙方所提供的货物的技术规格应与招标文件与投标文件规定的技术规格相一致；若技术性能无特殊说明，则按国家有关部门最新颁布的标准及规范为准。</w:t>
      </w:r>
    </w:p>
    <w:p>
      <w:pPr>
        <w:autoSpaceDE w:val="0"/>
        <w:autoSpaceDN w:val="0"/>
        <w:adjustRightInd w:val="0"/>
        <w:spacing w:line="400" w:lineRule="exact"/>
        <w:ind w:firstLine="480" w:firstLineChars="200"/>
        <w:jc w:val="left"/>
        <w:rPr>
          <w:rFonts w:asciiTheme="minorEastAsia" w:hAnsiTheme="minorEastAsia" w:eastAsiaTheme="minorEastAsia"/>
          <w:bCs/>
          <w:sz w:val="24"/>
        </w:rPr>
      </w:pPr>
      <w:r>
        <w:rPr>
          <w:rFonts w:asciiTheme="minorEastAsia" w:hAnsiTheme="minorEastAsia" w:eastAsiaTheme="minorEastAsia"/>
          <w:bCs/>
          <w:sz w:val="24"/>
        </w:rPr>
        <w:t>2</w:t>
      </w:r>
      <w:r>
        <w:rPr>
          <w:rFonts w:hint="eastAsia" w:asciiTheme="minorEastAsia" w:hAnsiTheme="minorEastAsia" w:eastAsiaTheme="minor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400" w:lineRule="exact"/>
        <w:ind w:firstLine="480" w:firstLineChars="200"/>
        <w:jc w:val="left"/>
        <w:rPr>
          <w:rFonts w:asciiTheme="minorEastAsia" w:hAnsiTheme="minorEastAsia" w:eastAsiaTheme="minorEastAsia"/>
          <w:bCs/>
          <w:sz w:val="24"/>
          <w:u w:val="single"/>
          <w:lang w:val="zh-CN"/>
        </w:rPr>
      </w:pPr>
      <w:r>
        <w:rPr>
          <w:rFonts w:hint="eastAsia" w:asciiTheme="minorEastAsia" w:hAnsiTheme="minorEastAsia" w:eastAsiaTheme="minorEastAsia"/>
          <w:bCs/>
          <w:sz w:val="24"/>
          <w:lang w:val="zh-CN"/>
        </w:rPr>
        <w:t>3、乙方承诺的质量保证：</w:t>
      </w:r>
      <w:r>
        <w:rPr>
          <w:rFonts w:hint="eastAsia" w:asciiTheme="minorEastAsia" w:hAnsiTheme="minorEastAsia" w:eastAsiaTheme="minorEastAsia"/>
          <w:bCs/>
          <w:sz w:val="24"/>
          <w:u w:val="single"/>
          <w:lang w:val="zh-CN"/>
        </w:rPr>
        <w:t>　　　　　　　　　　　　　　　　　　　　　</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第七条　包装要求</w:t>
      </w:r>
    </w:p>
    <w:p>
      <w:pPr>
        <w:autoSpaceDE w:val="0"/>
        <w:autoSpaceDN w:val="0"/>
        <w:adjustRightInd w:val="0"/>
        <w:spacing w:line="400" w:lineRule="exact"/>
        <w:ind w:firstLine="480" w:firstLineChars="200"/>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400" w:lineRule="exact"/>
        <w:ind w:firstLine="480" w:firstLineChars="200"/>
        <w:jc w:val="left"/>
        <w:outlineLvl w:val="2"/>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2、每一包装单元内应附详细的装箱单和质量合格凭证。</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第八条　交货及验收</w:t>
      </w:r>
    </w:p>
    <w:p>
      <w:pPr>
        <w:autoSpaceDE w:val="0"/>
        <w:autoSpaceDN w:val="0"/>
        <w:adjustRightInd w:val="0"/>
        <w:spacing w:line="400" w:lineRule="exact"/>
        <w:ind w:firstLine="480" w:firstLineChars="200"/>
        <w:jc w:val="left"/>
        <w:rPr>
          <w:rFonts w:asciiTheme="minorEastAsia" w:hAnsiTheme="minorEastAsia" w:eastAsiaTheme="minorEastAsia"/>
          <w:bCs/>
          <w:sz w:val="24"/>
          <w:u w:val="single"/>
          <w:lang w:val="zh-CN"/>
        </w:rPr>
      </w:pPr>
      <w:r>
        <w:rPr>
          <w:rFonts w:hint="eastAsia" w:asciiTheme="minorEastAsia" w:hAnsiTheme="minorEastAsia" w:eastAsiaTheme="minorEastAsia"/>
          <w:bCs/>
          <w:sz w:val="24"/>
          <w:lang w:val="zh-CN"/>
        </w:rPr>
        <w:t>1、交货地点、方式及日期：</w:t>
      </w:r>
      <w:r>
        <w:rPr>
          <w:rFonts w:hint="eastAsia" w:asciiTheme="minorEastAsia" w:hAnsiTheme="minorEastAsia" w:eastAsiaTheme="minorEastAsia"/>
          <w:bCs/>
          <w:sz w:val="24"/>
          <w:u w:val="single"/>
          <w:lang w:val="zh-CN"/>
        </w:rPr>
        <w:t>　　　　　　　　　　　　　　　　　　　　　　　</w:t>
      </w:r>
    </w:p>
    <w:p>
      <w:pPr>
        <w:autoSpaceDE w:val="0"/>
        <w:autoSpaceDN w:val="0"/>
        <w:adjustRightInd w:val="0"/>
        <w:spacing w:line="40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2、验收标准：按招标文件所规定的采购标准和乙方投标文件的承诺，根据实际组织验收，费用由</w:t>
      </w:r>
      <w:r>
        <w:rPr>
          <w:rFonts w:asciiTheme="minorEastAsia" w:hAnsiTheme="minorEastAsia" w:eastAsiaTheme="minorEastAsia"/>
          <w:sz w:val="24"/>
          <w:u w:val="single"/>
        </w:rPr>
        <w:t>    </w:t>
      </w:r>
      <w:r>
        <w:rPr>
          <w:rFonts w:asciiTheme="minorEastAsia" w:hAnsiTheme="minorEastAsia" w:eastAsiaTheme="minorEastAsia"/>
          <w:sz w:val="24"/>
        </w:rPr>
        <w:t>承担。</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第九条　伴随服务／售后服务</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、乙方应按照国家有关法律法规规章和“三包”规定以及招标文件及投标文件所规定及承诺的“服务承诺”提供服务。</w:t>
      </w:r>
    </w:p>
    <w:p>
      <w:pPr>
        <w:autoSpaceDE w:val="0"/>
        <w:autoSpaceDN w:val="0"/>
        <w:adjustRightInd w:val="0"/>
        <w:spacing w:line="400" w:lineRule="exact"/>
        <w:ind w:firstLine="480" w:firstLineChars="200"/>
        <w:jc w:val="left"/>
        <w:outlineLvl w:val="2"/>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、除前款规定外，乙方还应提供下列服务：</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）货物的现场安装、调试、运行、维护等；</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）对甲方人员进行免费培训。</w:t>
      </w:r>
    </w:p>
    <w:p>
      <w:pPr>
        <w:autoSpaceDE w:val="0"/>
        <w:autoSpaceDN w:val="0"/>
        <w:adjustRightInd w:val="0"/>
        <w:spacing w:line="400" w:lineRule="exact"/>
        <w:ind w:firstLine="480" w:firstLineChars="200"/>
        <w:jc w:val="left"/>
        <w:rPr>
          <w:rFonts w:asciiTheme="minorEastAsia" w:hAnsiTheme="minorEastAsia" w:eastAsiaTheme="minorEastAsia"/>
          <w:bCs/>
          <w:sz w:val="24"/>
          <w:u w:val="single"/>
          <w:lang w:val="zh-CN"/>
        </w:rPr>
      </w:pPr>
      <w:r>
        <w:rPr>
          <w:rFonts w:hint="eastAsia" w:asciiTheme="minorEastAsia" w:hAnsiTheme="minorEastAsia" w:eastAsiaTheme="minorEastAsia"/>
          <w:bCs/>
          <w:sz w:val="24"/>
          <w:lang w:val="zh-CN"/>
        </w:rPr>
        <w:t>3、乙方承诺的售后服务：</w:t>
      </w:r>
      <w:r>
        <w:rPr>
          <w:rFonts w:hint="eastAsia" w:asciiTheme="minorEastAsia" w:hAnsiTheme="minorEastAsia" w:eastAsiaTheme="minorEastAsia"/>
          <w:bCs/>
          <w:sz w:val="24"/>
          <w:u w:val="single"/>
          <w:lang w:val="zh-CN"/>
        </w:rPr>
        <w:t>　　　　　　　　　　　　　　　　　　　　　</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4、若招标文件中不包含有关伴随服务或售后服务的承诺，双方作如下约定：</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（2）所购货物按乙方投标承诺提供免费维护和质量保证，保修费用计入总价。</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（3）保修期内，乙方负责对其提供的货物整机进行维修和系统维护，不再收取任何费用，但不可抗力（如火灾、雷击等）造成的故障除外。</w:t>
      </w:r>
    </w:p>
    <w:p>
      <w:pPr>
        <w:autoSpaceDE w:val="0"/>
        <w:autoSpaceDN w:val="0"/>
        <w:adjustRightInd w:val="0"/>
        <w:spacing w:line="400" w:lineRule="exact"/>
        <w:ind w:firstLine="480" w:firstLineChars="200"/>
        <w:jc w:val="left"/>
        <w:outlineLvl w:val="3"/>
        <w:rPr>
          <w:rFonts w:asciiTheme="minorEastAsia" w:hAnsiTheme="minorEastAsia" w:eastAsiaTheme="minorEastAsia"/>
          <w:sz w:val="24"/>
          <w:lang w:val="zh-CN"/>
        </w:rPr>
      </w:pPr>
      <w:r>
        <w:rPr>
          <w:rFonts w:hint="eastAsia" w:asciiTheme="minorEastAsia" w:hAnsiTheme="minorEastAsia" w:eastAsiaTheme="minorEastAsia"/>
          <w:sz w:val="24"/>
          <w:lang w:val="zh-CN"/>
        </w:rPr>
        <w:t>（4）货物故障报修的响应时间按乙方投标承诺执行。</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（5）若货物故障在检修</w:t>
      </w:r>
      <w:r>
        <w:rPr>
          <w:rFonts w:asciiTheme="minorEastAsia" w:hAnsiTheme="minorEastAsia" w:eastAsiaTheme="minorEastAsia"/>
          <w:sz w:val="24"/>
          <w:lang w:val="zh-CN"/>
        </w:rPr>
        <w:t>8</w:t>
      </w:r>
      <w:r>
        <w:rPr>
          <w:rFonts w:hint="eastAsia" w:asciiTheme="minorEastAsia" w:hAnsiTheme="minorEastAsia" w:eastAsiaTheme="minorEastAsia"/>
          <w:sz w:val="24"/>
          <w:lang w:val="zh-CN"/>
        </w:rPr>
        <w:t>工作小时后仍无法排除，乙方应在</w:t>
      </w:r>
      <w:r>
        <w:rPr>
          <w:rFonts w:hint="eastAsia" w:asciiTheme="minorEastAsia" w:hAnsiTheme="minorEastAsia" w:eastAsiaTheme="minorEastAsia"/>
          <w:sz w:val="24"/>
          <w:lang w:val="en-US" w:eastAsia="zh-CN"/>
        </w:rPr>
        <w:t>24</w:t>
      </w:r>
      <w:r>
        <w:rPr>
          <w:rFonts w:hint="eastAsia" w:asciiTheme="minorEastAsia" w:hAnsiTheme="minorEastAsia" w:eastAsiaTheme="minorEastAsia"/>
          <w:sz w:val="24"/>
          <w:lang w:val="zh-CN"/>
        </w:rPr>
        <w:t>小时内免费提供不低于故障货物规格型号档次的备用货物供甲方使用，直至故障货物修复。</w:t>
      </w:r>
    </w:p>
    <w:p>
      <w:pPr>
        <w:autoSpaceDE w:val="0"/>
        <w:autoSpaceDN w:val="0"/>
        <w:adjustRightInd w:val="0"/>
        <w:spacing w:line="4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（6）所有货物保修服务方式均为乙方上门保修，即由乙方派员到货物使用现场维修，由此产生的一切费用均由乙方承担。</w:t>
      </w:r>
    </w:p>
    <w:p>
      <w:pPr>
        <w:autoSpaceDE w:val="0"/>
        <w:autoSpaceDN w:val="0"/>
        <w:adjustRightInd w:val="0"/>
        <w:spacing w:line="400" w:lineRule="exact"/>
        <w:ind w:firstLine="480" w:firstLineChars="200"/>
        <w:jc w:val="left"/>
        <w:outlineLvl w:val="3"/>
        <w:rPr>
          <w:rFonts w:asciiTheme="minorEastAsia" w:hAnsiTheme="minorEastAsia" w:eastAsiaTheme="minorEastAsia"/>
          <w:sz w:val="24"/>
          <w:lang w:val="zh-CN"/>
        </w:rPr>
      </w:pPr>
      <w:r>
        <w:rPr>
          <w:rFonts w:hint="eastAsia" w:asciiTheme="minorEastAsia" w:hAnsiTheme="minorEastAsia" w:eastAsiaTheme="minorEastAsia"/>
          <w:sz w:val="24"/>
          <w:lang w:val="zh-CN"/>
        </w:rPr>
        <w:t>（7）保修期后的货物维护由双方协商再定。</w:t>
      </w:r>
    </w:p>
    <w:p>
      <w:pPr>
        <w:autoSpaceDE w:val="0"/>
        <w:autoSpaceDN w:val="0"/>
        <w:adjustRightInd w:val="0"/>
        <w:spacing w:line="400" w:lineRule="exact"/>
        <w:jc w:val="left"/>
        <w:outlineLvl w:val="1"/>
        <w:rPr>
          <w:rFonts w:ascii="黑体" w:hAnsi="黑体" w:eastAsia="黑体"/>
          <w:bCs/>
          <w:i/>
          <w:iCs/>
          <w:sz w:val="24"/>
          <w:lang w:val="zh-CN"/>
        </w:rPr>
      </w:pPr>
      <w:r>
        <w:rPr>
          <w:rFonts w:hint="eastAsia" w:ascii="黑体" w:hAnsi="黑体" w:eastAsia="黑体"/>
          <w:bCs/>
          <w:sz w:val="24"/>
          <w:lang w:val="zh-CN"/>
        </w:rPr>
        <w:t>第十条　付款</w:t>
      </w:r>
    </w:p>
    <w:p>
      <w:pPr>
        <w:autoSpaceDE w:val="0"/>
        <w:autoSpaceDN w:val="0"/>
        <w:adjustRightInd w:val="0"/>
        <w:spacing w:line="400" w:lineRule="exact"/>
        <w:ind w:firstLine="42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1、本合同项下所有款项均以人民币支付，乙方向甲方开具发票。</w:t>
      </w:r>
    </w:p>
    <w:p>
      <w:pPr>
        <w:autoSpaceDE w:val="0"/>
        <w:autoSpaceDN w:val="0"/>
        <w:adjustRightInd w:val="0"/>
        <w:spacing w:line="400" w:lineRule="exact"/>
        <w:ind w:firstLine="420"/>
        <w:jc w:val="left"/>
        <w:rPr>
          <w:rFonts w:asciiTheme="minorEastAsia" w:hAnsiTheme="minorEastAsia" w:eastAsiaTheme="minorEastAsia"/>
          <w:sz w:val="24"/>
          <w:u w:val="single"/>
        </w:rPr>
      </w:pPr>
      <w:r>
        <w:rPr>
          <w:rFonts w:hint="eastAsia" w:asciiTheme="minorEastAsia" w:hAnsiTheme="minorEastAsia" w:eastAsiaTheme="minorEastAsia"/>
          <w:sz w:val="24"/>
          <w:lang w:val="zh-CN"/>
        </w:rPr>
        <w:t>2、付款方式：</w:t>
      </w:r>
      <w:r>
        <w:rPr>
          <w:rFonts w:hint="eastAsia" w:asciiTheme="minorEastAsia" w:hAnsiTheme="minorEastAsia" w:eastAsiaTheme="minorEastAsia"/>
          <w:sz w:val="24"/>
          <w:u w:val="single"/>
          <w:lang w:val="zh-CN"/>
        </w:rPr>
        <w:t>　　　　　　　　　　　　　　　　　　　</w:t>
      </w:r>
    </w:p>
    <w:p>
      <w:pPr>
        <w:autoSpaceDE w:val="0"/>
        <w:autoSpaceDN w:val="0"/>
        <w:adjustRightInd w:val="0"/>
        <w:spacing w:line="400" w:lineRule="exact"/>
        <w:jc w:val="left"/>
        <w:outlineLvl w:val="1"/>
        <w:rPr>
          <w:rFonts w:ascii="黑体" w:hAnsi="黑体" w:eastAsia="黑体"/>
          <w:bCs/>
          <w:sz w:val="24"/>
          <w:lang w:val="zh-CN"/>
        </w:rPr>
      </w:pPr>
      <w:r>
        <w:rPr>
          <w:rFonts w:hint="eastAsia" w:ascii="黑体" w:hAnsi="黑体" w:eastAsia="黑体"/>
          <w:bCs/>
          <w:sz w:val="24"/>
          <w:lang w:val="zh-CN"/>
        </w:rPr>
        <w:t>第十一条　违约责任</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2、</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3、</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4、</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5、</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6、</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7、</w:t>
      </w:r>
      <w:r>
        <w:rPr>
          <w:rFonts w:hint="eastAsia" w:asciiTheme="minorEastAsia" w:hAnsiTheme="minorEastAsia" w:eastAsiaTheme="minorEastAsia"/>
          <w:sz w:val="24"/>
          <w:u w:val="single"/>
          <w:lang w:val="zh-CN"/>
        </w:rPr>
        <w:t>　　　　　　　　　　　　　　　　　　　　　　　　　　　　　　　　　　</w:t>
      </w:r>
    </w:p>
    <w:p>
      <w:pPr>
        <w:widowControl/>
        <w:adjustRightInd w:val="0"/>
        <w:spacing w:line="400" w:lineRule="exact"/>
        <w:ind w:firstLine="480" w:firstLineChars="200"/>
        <w:jc w:val="left"/>
        <w:rPr>
          <w:rFonts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8、</w:t>
      </w:r>
      <w:r>
        <w:rPr>
          <w:rFonts w:hint="eastAsia" w:asciiTheme="minorEastAsia" w:hAnsiTheme="minorEastAsia" w:eastAsiaTheme="minorEastAsia"/>
          <w:sz w:val="24"/>
          <w:u w:val="single"/>
          <w:lang w:val="zh-CN"/>
        </w:rPr>
        <w:t>　　　　　　　　　　　　　　　　　　　　　　　　　　　　　　　　　　</w:t>
      </w:r>
    </w:p>
    <w:p>
      <w:pPr>
        <w:widowControl/>
        <w:adjustRightInd w:val="0"/>
        <w:spacing w:line="400" w:lineRule="exact"/>
        <w:jc w:val="left"/>
        <w:outlineLvl w:val="1"/>
        <w:rPr>
          <w:rFonts w:ascii="黑体" w:hAnsi="黑体" w:eastAsia="黑体" w:cs="宋体"/>
          <w:bCs/>
          <w:kern w:val="0"/>
          <w:sz w:val="24"/>
        </w:rPr>
      </w:pPr>
      <w:r>
        <w:rPr>
          <w:rFonts w:hint="eastAsia" w:ascii="黑体" w:hAnsi="黑体" w:eastAsia="黑体" w:cs="宋体"/>
          <w:bCs/>
          <w:kern w:val="0"/>
          <w:sz w:val="24"/>
          <w:lang w:val="zh-CN"/>
        </w:rPr>
        <w:t>第十二条　</w:t>
      </w:r>
      <w:r>
        <w:rPr>
          <w:rFonts w:hint="eastAsia" w:ascii="黑体" w:hAnsi="黑体" w:eastAsia="黑体" w:cs="宋体"/>
          <w:bCs/>
          <w:kern w:val="0"/>
          <w:sz w:val="24"/>
        </w:rPr>
        <w:t>不可抗力</w:t>
      </w:r>
    </w:p>
    <w:p>
      <w:pPr>
        <w:widowControl/>
        <w:adjustRightInd w:val="0"/>
        <w:spacing w:line="400" w:lineRule="exact"/>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1、不可抗力，是指不能预见、不能避免并不能克服的客观情况，如战争、动乱、瘟疫、严重火灾、洪水、地震、风暴或其他自然灾害等。</w:t>
      </w:r>
    </w:p>
    <w:p>
      <w:pPr>
        <w:widowControl/>
        <w:adjustRightInd w:val="0"/>
        <w:spacing w:line="400" w:lineRule="exact"/>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pPr>
        <w:widowControl/>
        <w:adjustRightInd w:val="0"/>
        <w:spacing w:line="400" w:lineRule="exact"/>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3、发生不可抗力事件，任何一方均不对因不可抗力无法履行或迟延履行本合同义务而使另一方蒙受的任何损失承担责任，法律另有规定的除外。</w:t>
      </w:r>
    </w:p>
    <w:p>
      <w:pPr>
        <w:widowControl/>
        <w:adjustRightInd w:val="0"/>
        <w:spacing w:line="400" w:lineRule="exact"/>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4、合同各方应根据不可抗力对本合同履行的影响程度，协商确定是否终止本合同或是继续履行本合同。</w:t>
      </w:r>
    </w:p>
    <w:p>
      <w:pPr>
        <w:widowControl/>
        <w:adjustRightInd w:val="0"/>
        <w:spacing w:line="400" w:lineRule="exact"/>
        <w:jc w:val="left"/>
        <w:outlineLvl w:val="1"/>
        <w:rPr>
          <w:rFonts w:ascii="黑体" w:hAnsi="黑体" w:eastAsia="黑体" w:cs="宋体"/>
          <w:bCs/>
          <w:kern w:val="0"/>
          <w:sz w:val="24"/>
          <w:lang w:val="zh-CN"/>
        </w:rPr>
      </w:pPr>
      <w:r>
        <w:rPr>
          <w:rFonts w:hint="eastAsia" w:ascii="黑体" w:hAnsi="黑体" w:eastAsia="黑体" w:cs="宋体"/>
          <w:kern w:val="0"/>
          <w:sz w:val="24"/>
        </w:rPr>
        <w:t>第十三条　</w:t>
      </w:r>
      <w:r>
        <w:rPr>
          <w:rFonts w:hint="eastAsia" w:ascii="黑体" w:hAnsi="黑体" w:eastAsia="黑体" w:cs="宋体"/>
          <w:bCs/>
          <w:kern w:val="0"/>
          <w:sz w:val="24"/>
          <w:lang w:val="zh-CN"/>
        </w:rPr>
        <w:t>合同的变更和终止</w:t>
      </w:r>
    </w:p>
    <w:p>
      <w:pPr>
        <w:widowControl/>
        <w:adjustRightInd w:val="0"/>
        <w:spacing w:line="400" w:lineRule="exact"/>
        <w:ind w:firstLine="480" w:firstLineChars="200"/>
        <w:jc w:val="left"/>
        <w:rPr>
          <w:rFonts w:cs="宋体"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、除《政府采购法》第</w:t>
      </w:r>
      <w:r>
        <w:rPr>
          <w:rFonts w:hint="eastAsia" w:asciiTheme="minorEastAsia" w:hAnsiTheme="minorEastAsia" w:eastAsiaTheme="minorEastAsia"/>
          <w:kern w:val="0"/>
          <w:sz w:val="24"/>
          <w:lang w:val="zh-CN"/>
        </w:rPr>
        <w:t>五十</w:t>
      </w:r>
      <w:r>
        <w:rPr>
          <w:rFonts w:hint="eastAsia" w:cs="宋体" w:asciiTheme="minorEastAsia" w:hAnsiTheme="minorEastAsia" w:eastAsiaTheme="minorEastAsia"/>
          <w:kern w:val="0"/>
          <w:sz w:val="24"/>
          <w:lang w:val="zh-CN"/>
        </w:rPr>
        <w:t>条规定的情形外，本合同一经签订，甲乙双方不得擅自变更、中止或终止合同。</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kern w:val="0"/>
          <w:sz w:val="24"/>
          <w:lang w:val="zh-CN"/>
        </w:rPr>
        <w:t>2</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rPr>
        <w:t>除发生法律规定的不能预见、不能避免并不能克服的客观情况外，甲乙双方不得放弃或拒绝履行合同。</w:t>
      </w:r>
    </w:p>
    <w:p>
      <w:pPr>
        <w:widowControl/>
        <w:adjustRightInd w:val="0"/>
        <w:spacing w:line="400" w:lineRule="exact"/>
        <w:jc w:val="left"/>
        <w:outlineLvl w:val="1"/>
        <w:rPr>
          <w:rFonts w:ascii="黑体" w:hAnsi="黑体" w:eastAsia="黑体" w:cs="宋体"/>
          <w:kern w:val="0"/>
          <w:sz w:val="24"/>
        </w:rPr>
      </w:pPr>
      <w:r>
        <w:rPr>
          <w:rFonts w:hint="eastAsia" w:ascii="黑体" w:hAnsi="黑体" w:eastAsia="黑体" w:cs="宋体"/>
          <w:kern w:val="0"/>
          <w:sz w:val="24"/>
        </w:rPr>
        <w:t>第十四条  合同的终止</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本合同因下列原因而终止：</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（1）本合同正常履行完毕；</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（2）因不可抗力导致本合同无法履行或履行不必要；</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（3）任何一方行使解除权解除本合同；</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（4）合同的继续履行将损害国家利益和社会公共利益。</w:t>
      </w:r>
    </w:p>
    <w:p>
      <w:pPr>
        <w:widowControl/>
        <w:adjustRightInd w:val="0"/>
        <w:spacing w:line="4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除上述情形外，甲乙双方不得擅自终止合同。</w:t>
      </w:r>
    </w:p>
    <w:p>
      <w:pPr>
        <w:widowControl/>
        <w:adjustRightInd w:val="0"/>
        <w:spacing w:line="400" w:lineRule="exact"/>
        <w:jc w:val="left"/>
        <w:outlineLvl w:val="1"/>
        <w:rPr>
          <w:rFonts w:ascii="黑体" w:hAnsi="黑体" w:eastAsia="黑体" w:cs="宋体"/>
          <w:bCs/>
          <w:kern w:val="0"/>
          <w:sz w:val="24"/>
          <w:lang w:val="zh-CN"/>
        </w:rPr>
      </w:pPr>
      <w:r>
        <w:rPr>
          <w:rFonts w:hint="eastAsia" w:ascii="黑体" w:hAnsi="黑体" w:eastAsia="黑体" w:cs="宋体"/>
          <w:bCs/>
          <w:kern w:val="0"/>
          <w:sz w:val="24"/>
          <w:lang w:val="zh-CN"/>
        </w:rPr>
        <w:t>第十五条　争议的解决</w:t>
      </w:r>
    </w:p>
    <w:p>
      <w:pPr>
        <w:widowControl/>
        <w:adjustRightInd w:val="0"/>
        <w:spacing w:line="400" w:lineRule="exact"/>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1、因货物的质量问题发生争议的，应当邀请国家认可的质量检测机构对货物质量进行鉴定。货物符合标准的，鉴定费由甲方承担；货物不符合质量标准的，鉴定费由乙方承担。</w:t>
      </w:r>
    </w:p>
    <w:p>
      <w:pPr>
        <w:widowControl/>
        <w:adjustRightInd w:val="0"/>
        <w:spacing w:line="400" w:lineRule="exact"/>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2、因履行本合同引起的或与本合同有关的争议，甲、乙双方应首先通过友好协商解决，如果协商不能解决争议，则采取以下2种方式解决争议：</w:t>
      </w:r>
    </w:p>
    <w:p>
      <w:pPr>
        <w:widowControl/>
        <w:adjustRightInd w:val="0"/>
        <w:spacing w:line="400" w:lineRule="exact"/>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（1）向甲方所在地有管辖权的人民法院提起诉讼；</w:t>
      </w:r>
    </w:p>
    <w:p>
      <w:pPr>
        <w:widowControl/>
        <w:adjustRightInd w:val="0"/>
        <w:spacing w:line="400" w:lineRule="exact"/>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（2）向甲方所在地仲裁委员会按其仲裁规则申请仲裁。</w:t>
      </w:r>
    </w:p>
    <w:p>
      <w:pPr>
        <w:widowControl/>
        <w:adjustRightInd w:val="0"/>
        <w:spacing w:line="400" w:lineRule="exact"/>
        <w:ind w:firstLine="420"/>
        <w:jc w:val="left"/>
        <w:outlineLvl w:val="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3、在仲裁期间，本合同应继续履行。</w:t>
      </w:r>
    </w:p>
    <w:p>
      <w:pPr>
        <w:widowControl/>
        <w:adjustRightInd w:val="0"/>
        <w:spacing w:line="400" w:lineRule="exact"/>
        <w:jc w:val="left"/>
        <w:outlineLvl w:val="1"/>
        <w:rPr>
          <w:rFonts w:ascii="黑体" w:hAnsi="黑体" w:eastAsia="黑体" w:cs="宋体"/>
          <w:bCs/>
          <w:kern w:val="0"/>
          <w:sz w:val="24"/>
          <w:lang w:val="zh-CN"/>
        </w:rPr>
      </w:pPr>
      <w:r>
        <w:rPr>
          <w:rFonts w:hint="eastAsia" w:ascii="黑体" w:hAnsi="黑体" w:eastAsia="黑体" w:cs="宋体"/>
          <w:bCs/>
          <w:kern w:val="0"/>
          <w:sz w:val="24"/>
          <w:lang w:val="zh-CN"/>
        </w:rPr>
        <w:t>第十六条　合同生效及其他</w:t>
      </w:r>
    </w:p>
    <w:p>
      <w:pPr>
        <w:widowControl/>
        <w:adjustRightInd w:val="0"/>
        <w:spacing w:line="400" w:lineRule="exact"/>
        <w:ind w:firstLine="42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rPr>
        <w:t>本合同由甲乙双方签字、盖章</w:t>
      </w:r>
      <w:r>
        <w:rPr>
          <w:rFonts w:hint="eastAsia" w:cs="宋体" w:asciiTheme="minorEastAsia" w:hAnsiTheme="minorEastAsia" w:eastAsiaTheme="minorEastAsia"/>
          <w:kern w:val="0"/>
          <w:sz w:val="24"/>
          <w:lang w:eastAsia="zh-CN"/>
        </w:rPr>
        <w:t>后生效</w:t>
      </w:r>
      <w:r>
        <w:rPr>
          <w:rFonts w:hint="eastAsia" w:cs="宋体" w:asciiTheme="minorEastAsia" w:hAnsiTheme="minorEastAsia" w:eastAsiaTheme="minorEastAsia"/>
          <w:kern w:val="0"/>
          <w:sz w:val="24"/>
        </w:rPr>
        <w:t>。</w:t>
      </w:r>
    </w:p>
    <w:p>
      <w:pPr>
        <w:widowControl/>
        <w:adjustRightInd w:val="0"/>
        <w:spacing w:line="400" w:lineRule="exact"/>
        <w:ind w:firstLine="42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2、本合同一式四份。</w:t>
      </w:r>
    </w:p>
    <w:p>
      <w:pPr>
        <w:widowControl/>
        <w:adjustRightInd w:val="0"/>
        <w:spacing w:line="400" w:lineRule="exact"/>
        <w:ind w:firstLine="420"/>
        <w:jc w:val="left"/>
        <w:rPr>
          <w:sz w:val="24"/>
        </w:rPr>
      </w:pPr>
      <w:r>
        <w:rPr>
          <w:rFonts w:hint="eastAsia" w:cs="宋体" w:asciiTheme="minorEastAsia" w:hAnsiTheme="minorEastAsia" w:eastAsiaTheme="minorEastAsia"/>
          <w:kern w:val="0"/>
          <w:sz w:val="24"/>
          <w:lang w:val="zh-CN"/>
        </w:rPr>
        <w:t>3、本合同应按照中华人民共和国的现行法律进行解释。</w:t>
      </w:r>
    </w:p>
    <w:p>
      <w:pPr>
        <w:spacing w:line="400" w:lineRule="exact"/>
        <w:jc w:val="center"/>
        <w:outlineLvl w:val="9"/>
        <w:rPr>
          <w:rFonts w:ascii="楷体_GB2312" w:eastAsia="楷体_GB2312"/>
          <w:b/>
          <w:bCs/>
          <w:sz w:val="30"/>
        </w:rPr>
      </w:pPr>
    </w:p>
    <w:tbl>
      <w:tblPr>
        <w:tblStyle w:val="12"/>
        <w:tblW w:w="9356" w:type="dxa"/>
        <w:jc w:val="center"/>
        <w:tblLayout w:type="fixed"/>
        <w:tblCellMar>
          <w:top w:w="0" w:type="dxa"/>
          <w:left w:w="108" w:type="dxa"/>
          <w:bottom w:w="0" w:type="dxa"/>
          <w:right w:w="108" w:type="dxa"/>
        </w:tblCellMar>
      </w:tblPr>
      <w:tblGrid>
        <w:gridCol w:w="4536"/>
        <w:gridCol w:w="284"/>
        <w:gridCol w:w="4536"/>
      </w:tblGrid>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bCs/>
                <w:sz w:val="24"/>
                <w:u w:val="single"/>
              </w:rPr>
            </w:pPr>
            <w:r>
              <w:rPr>
                <w:rFonts w:hint="eastAsia" w:asciiTheme="minorEastAsia" w:hAnsiTheme="minorEastAsia" w:eastAsiaTheme="minorEastAsia"/>
                <w:bCs/>
                <w:sz w:val="24"/>
              </w:rPr>
              <w:t>甲方（采购单位）：</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（盖章）</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乙方（中标单位）：</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（盖章）</w:t>
            </w:r>
          </w:p>
        </w:tc>
      </w:tr>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地址：</w:t>
            </w:r>
            <w:r>
              <w:rPr>
                <w:rFonts w:hint="eastAsia" w:asciiTheme="minorEastAsia" w:hAnsiTheme="minorEastAsia" w:eastAsiaTheme="minorEastAsia"/>
                <w:bCs/>
                <w:sz w:val="24"/>
                <w:u w:val="single"/>
              </w:rPr>
              <w:t>　　　　　　　　　　　　　　　</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地址：</w:t>
            </w:r>
            <w:r>
              <w:rPr>
                <w:rFonts w:hint="eastAsia" w:asciiTheme="minorEastAsia" w:hAnsiTheme="minorEastAsia" w:eastAsiaTheme="minorEastAsia"/>
                <w:bCs/>
                <w:sz w:val="24"/>
                <w:u w:val="single"/>
              </w:rPr>
              <w:t>　　　　　　　　　　　　　　　</w:t>
            </w:r>
          </w:p>
        </w:tc>
      </w:tr>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法定（授权）代表人：</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法定（授权）代表人：</w:t>
            </w:r>
          </w:p>
        </w:tc>
      </w:tr>
      <w:tr>
        <w:tblPrEx>
          <w:tblCellMar>
            <w:top w:w="0" w:type="dxa"/>
            <w:left w:w="108" w:type="dxa"/>
            <w:bottom w:w="0" w:type="dxa"/>
            <w:right w:w="108" w:type="dxa"/>
          </w:tblCellMar>
        </w:tblPrEx>
        <w:trPr>
          <w:jc w:val="center"/>
        </w:trPr>
        <w:tc>
          <w:tcPr>
            <w:tcW w:w="4536" w:type="dxa"/>
          </w:tcPr>
          <w:p>
            <w:pPr>
              <w:spacing w:line="360" w:lineRule="exact"/>
              <w:jc w:val="right"/>
              <w:rPr>
                <w:rFonts w:asciiTheme="minorEastAsia" w:hAnsiTheme="minorEastAsia" w:eastAsiaTheme="minorEastAsia"/>
                <w:sz w:val="24"/>
              </w:rPr>
            </w:pP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日</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jc w:val="right"/>
              <w:rPr>
                <w:rFonts w:asciiTheme="minorEastAsia" w:hAnsiTheme="minorEastAsia" w:eastAsiaTheme="minorEastAsia"/>
                <w:sz w:val="24"/>
              </w:rPr>
            </w:pP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日</w:t>
            </w:r>
          </w:p>
        </w:tc>
      </w:tr>
    </w:tbl>
    <w:p>
      <w:pPr>
        <w:rPr>
          <w:rFonts w:hint="eastAsia" w:ascii="黑体" w:hAnsi="楷体_GB2312" w:eastAsia="黑体" w:cs="黑体"/>
          <w:kern w:val="2"/>
          <w:sz w:val="30"/>
          <w:szCs w:val="30"/>
          <w:lang w:val="en-US" w:eastAsia="zh-CN"/>
        </w:rPr>
      </w:pPr>
      <w:r>
        <w:rPr>
          <w:rFonts w:hint="eastAsia" w:ascii="黑体" w:hAnsi="楷体_GB2312" w:eastAsia="黑体" w:cs="黑体"/>
          <w:kern w:val="2"/>
          <w:sz w:val="30"/>
          <w:szCs w:val="30"/>
          <w:lang w:val="en-US" w:eastAsia="zh-CN"/>
        </w:rPr>
        <w:br w:type="page"/>
      </w:r>
    </w:p>
    <w:p>
      <w:pPr>
        <w:spacing w:line="400" w:lineRule="exact"/>
        <w:jc w:val="center"/>
        <w:outlineLvl w:val="0"/>
        <w:rPr>
          <w:rFonts w:ascii="黑体" w:eastAsia="黑体"/>
          <w:bCs/>
          <w:sz w:val="30"/>
        </w:rPr>
      </w:pPr>
      <w:r>
        <w:rPr>
          <w:rFonts w:hint="eastAsia" w:ascii="黑体" w:eastAsia="黑体"/>
          <w:bCs/>
          <w:sz w:val="30"/>
        </w:rPr>
        <w:t>第七章　投标文件的组成和格式</w:t>
      </w:r>
    </w:p>
    <w:p>
      <w:pPr>
        <w:spacing w:line="400" w:lineRule="exact"/>
        <w:rPr>
          <w:rFonts w:ascii="仿宋_GB2312" w:eastAsia="仿宋_GB2312"/>
          <w:bCs/>
          <w:sz w:val="30"/>
        </w:rPr>
      </w:pPr>
    </w:p>
    <w:p>
      <w:pPr>
        <w:spacing w:line="400" w:lineRule="exact"/>
        <w:rPr>
          <w:rFonts w:ascii="仿宋_GB2312" w:eastAsia="仿宋_GB2312"/>
          <w:bCs/>
          <w:sz w:val="30"/>
        </w:rPr>
      </w:pPr>
    </w:p>
    <w:p>
      <w:pPr>
        <w:spacing w:line="400" w:lineRule="exact"/>
        <w:rPr>
          <w:rFonts w:ascii="仿宋_GB2312" w:eastAsia="仿宋_GB2312"/>
          <w:bCs/>
          <w:sz w:val="30"/>
        </w:rPr>
      </w:pPr>
    </w:p>
    <w:p>
      <w:pPr>
        <w:spacing w:line="400" w:lineRule="exact"/>
        <w:rPr>
          <w:rFonts w:ascii="仿宋_GB2312" w:eastAsia="仿宋_GB2312"/>
          <w:bCs/>
          <w:sz w:val="30"/>
        </w:rPr>
      </w:pPr>
    </w:p>
    <w:p>
      <w:pPr>
        <w:spacing w:line="400" w:lineRule="exact"/>
        <w:rPr>
          <w:rFonts w:ascii="仿宋_GB2312" w:eastAsia="仿宋_GB2312"/>
          <w:bCs/>
          <w:sz w:val="30"/>
        </w:rPr>
      </w:pPr>
    </w:p>
    <w:p>
      <w:pPr>
        <w:spacing w:line="360" w:lineRule="auto"/>
        <w:jc w:val="center"/>
        <w:outlineLvl w:val="1"/>
        <w:rPr>
          <w:rFonts w:asciiTheme="minorEastAsia" w:hAnsiTheme="minorEastAsia" w:eastAsiaTheme="minorEastAsia"/>
          <w:bCs/>
          <w:sz w:val="72"/>
          <w:szCs w:val="72"/>
        </w:rPr>
      </w:pPr>
      <w:r>
        <w:rPr>
          <w:rFonts w:hint="eastAsia" w:asciiTheme="minorEastAsia" w:hAnsiTheme="minorEastAsia" w:eastAsiaTheme="minorEastAsia"/>
          <w:bCs/>
          <w:sz w:val="72"/>
          <w:szCs w:val="72"/>
        </w:rPr>
        <w:t>投</w:t>
      </w:r>
    </w:p>
    <w:p>
      <w:pPr>
        <w:spacing w:line="360" w:lineRule="auto"/>
        <w:jc w:val="center"/>
        <w:rPr>
          <w:rFonts w:asciiTheme="minorEastAsia" w:hAnsiTheme="minorEastAsia" w:eastAsiaTheme="minorEastAsia"/>
          <w:bCs/>
          <w:sz w:val="72"/>
          <w:szCs w:val="72"/>
        </w:rPr>
      </w:pPr>
    </w:p>
    <w:p>
      <w:pPr>
        <w:spacing w:line="360" w:lineRule="auto"/>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标</w:t>
      </w:r>
    </w:p>
    <w:p>
      <w:pPr>
        <w:spacing w:line="360" w:lineRule="auto"/>
        <w:jc w:val="center"/>
        <w:rPr>
          <w:rFonts w:asciiTheme="minorEastAsia" w:hAnsiTheme="minorEastAsia" w:eastAsiaTheme="minorEastAsia"/>
          <w:bCs/>
          <w:sz w:val="72"/>
          <w:szCs w:val="72"/>
        </w:rPr>
      </w:pPr>
    </w:p>
    <w:p>
      <w:pPr>
        <w:spacing w:line="360" w:lineRule="auto"/>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书</w:t>
      </w:r>
    </w:p>
    <w:p>
      <w:pPr>
        <w:spacing w:line="400" w:lineRule="exact"/>
        <w:jc w:val="center"/>
        <w:rPr>
          <w:rFonts w:asciiTheme="minorEastAsia" w:hAnsiTheme="minorEastAsia" w:eastAsiaTheme="minorEastAsia"/>
          <w:bCs/>
          <w:sz w:val="30"/>
        </w:rPr>
      </w:pPr>
    </w:p>
    <w:p>
      <w:pPr>
        <w:spacing w:line="400" w:lineRule="exact"/>
        <w:rPr>
          <w:rFonts w:asciiTheme="minorEastAsia" w:hAnsiTheme="minorEastAsia" w:eastAsiaTheme="minorEastAsia"/>
          <w:bCs/>
          <w:sz w:val="30"/>
        </w:rPr>
      </w:pPr>
    </w:p>
    <w:p>
      <w:pPr>
        <w:spacing w:line="400" w:lineRule="exact"/>
        <w:rPr>
          <w:rFonts w:asciiTheme="minorEastAsia" w:hAnsiTheme="minorEastAsia" w:eastAsiaTheme="minorEastAsia"/>
          <w:bCs/>
          <w:sz w:val="30"/>
        </w:rPr>
      </w:pPr>
    </w:p>
    <w:p>
      <w:pPr>
        <w:spacing w:line="400" w:lineRule="exact"/>
        <w:rPr>
          <w:rFonts w:asciiTheme="minorEastAsia" w:hAnsiTheme="minorEastAsia" w:eastAsiaTheme="minorEastAsia"/>
          <w:bCs/>
          <w:sz w:val="30"/>
        </w:rPr>
      </w:pPr>
    </w:p>
    <w:p>
      <w:pPr>
        <w:spacing w:line="400" w:lineRule="exact"/>
        <w:ind w:left="2245" w:leftChars="426" w:hanging="1350" w:hangingChars="450"/>
        <w:rPr>
          <w:rFonts w:asciiTheme="minorEastAsia" w:hAnsiTheme="minorEastAsia" w:eastAsiaTheme="minorEastAsia"/>
          <w:sz w:val="30"/>
          <w:szCs w:val="30"/>
        </w:rPr>
      </w:pPr>
      <w:r>
        <w:rPr>
          <w:rFonts w:hint="eastAsia" w:asciiTheme="minorEastAsia" w:hAnsiTheme="minorEastAsia" w:eastAsiaTheme="minorEastAsia"/>
          <w:bCs/>
          <w:sz w:val="30"/>
          <w:szCs w:val="30"/>
        </w:rPr>
        <w:t>项目名称：</w:t>
      </w:r>
      <w:bookmarkStart w:id="31" w:name="_Toc450137300"/>
      <w:bookmarkStart w:id="32" w:name="_Toc422296027"/>
      <w:bookmarkStart w:id="33" w:name="_Toc421185809"/>
      <w:bookmarkStart w:id="34" w:name="_Toc421176541"/>
      <w:bookmarkStart w:id="35" w:name="_Toc422212563"/>
      <w:bookmarkStart w:id="36" w:name="_Toc406079056"/>
      <w:bookmarkStart w:id="37" w:name="_Toc421176589"/>
      <w:r>
        <w:rPr>
          <w:rFonts w:hint="eastAsia" w:asciiTheme="minorEastAsia" w:hAnsiTheme="minorEastAsia" w:eastAsiaTheme="minorEastAsia"/>
          <w:bCs/>
          <w:sz w:val="30"/>
          <w:szCs w:val="30"/>
        </w:rPr>
        <w:t>江阴市第五人民医院协同管理系统</w:t>
      </w:r>
      <w:bookmarkEnd w:id="31"/>
      <w:bookmarkEnd w:id="32"/>
      <w:bookmarkEnd w:id="33"/>
      <w:bookmarkEnd w:id="34"/>
      <w:bookmarkEnd w:id="35"/>
      <w:bookmarkEnd w:id="36"/>
      <w:bookmarkEnd w:id="37"/>
      <w:r>
        <w:rPr>
          <w:rFonts w:hint="eastAsia" w:cs="Batang" w:asciiTheme="minorEastAsia" w:hAnsiTheme="minorEastAsia" w:eastAsiaTheme="minorEastAsia"/>
          <w:bCs/>
          <w:sz w:val="32"/>
          <w:szCs w:val="32"/>
          <w:lang w:eastAsia="zh-CN"/>
        </w:rPr>
        <w:t xml:space="preserve"> </w:t>
      </w:r>
    </w:p>
    <w:p>
      <w:pPr>
        <w:spacing w:line="400" w:lineRule="exact"/>
        <w:ind w:firstLine="900" w:firstLineChars="300"/>
        <w:rPr>
          <w:rFonts w:hint="eastAsia" w:asciiTheme="minorEastAsia" w:hAnsiTheme="minorEastAsia" w:eastAsiaTheme="minorEastAsia"/>
          <w:bCs/>
          <w:sz w:val="30"/>
          <w:lang w:val="en-US" w:eastAsia="zh-CN"/>
        </w:rPr>
      </w:pPr>
    </w:p>
    <w:p>
      <w:pPr>
        <w:spacing w:line="400" w:lineRule="exact"/>
        <w:ind w:firstLine="900" w:firstLineChars="300"/>
        <w:rPr>
          <w:rFonts w:asciiTheme="minorEastAsia" w:hAnsiTheme="minorEastAsia" w:eastAsiaTheme="minorEastAsia"/>
          <w:bCs/>
          <w:sz w:val="30"/>
        </w:rPr>
      </w:pPr>
      <w:r>
        <w:rPr>
          <w:rFonts w:hint="eastAsia" w:asciiTheme="minorEastAsia" w:hAnsiTheme="minorEastAsia" w:eastAsiaTheme="minorEastAsia"/>
          <w:bCs/>
          <w:sz w:val="30"/>
        </w:rPr>
        <w:t>投标单位：</w:t>
      </w:r>
    </w:p>
    <w:p>
      <w:pPr>
        <w:spacing w:line="400" w:lineRule="exact"/>
        <w:ind w:firstLine="3300" w:firstLineChars="1100"/>
        <w:rPr>
          <w:rFonts w:asciiTheme="minorEastAsia" w:hAnsiTheme="minorEastAsia" w:eastAsiaTheme="minorEastAsia"/>
          <w:bCs/>
          <w:sz w:val="30"/>
        </w:rPr>
      </w:pPr>
    </w:p>
    <w:p>
      <w:pPr>
        <w:spacing w:line="400" w:lineRule="exact"/>
        <w:ind w:firstLine="3300" w:firstLineChars="1100"/>
        <w:rPr>
          <w:rFonts w:asciiTheme="minorEastAsia" w:hAnsiTheme="minorEastAsia" w:eastAsiaTheme="minorEastAsia"/>
          <w:bCs/>
          <w:sz w:val="30"/>
        </w:rPr>
      </w:pPr>
      <w:r>
        <w:rPr>
          <w:rFonts w:hint="eastAsia" w:asciiTheme="minorEastAsia" w:hAnsiTheme="minorEastAsia" w:eastAsiaTheme="minorEastAsia"/>
          <w:bCs/>
          <w:sz w:val="30"/>
        </w:rPr>
        <w:t>二○二</w:t>
      </w:r>
      <w:r>
        <w:rPr>
          <w:rFonts w:hint="eastAsia" w:asciiTheme="minorEastAsia" w:hAnsiTheme="minorEastAsia" w:eastAsiaTheme="minorEastAsia"/>
          <w:bCs/>
          <w:sz w:val="30"/>
          <w:lang w:eastAsia="zh-CN"/>
        </w:rPr>
        <w:t>三</w:t>
      </w:r>
      <w:r>
        <w:rPr>
          <w:rFonts w:hint="eastAsia" w:asciiTheme="minorEastAsia" w:hAnsiTheme="minorEastAsia" w:eastAsiaTheme="minorEastAsia"/>
          <w:bCs/>
          <w:sz w:val="30"/>
        </w:rPr>
        <w:t>年  月  日</w:t>
      </w:r>
    </w:p>
    <w:p>
      <w:pPr>
        <w:spacing w:line="400" w:lineRule="exact"/>
        <w:ind w:firstLine="3300" w:firstLineChars="1100"/>
        <w:rPr>
          <w:rFonts w:asciiTheme="minorEastAsia" w:hAnsiTheme="minorEastAsia" w:eastAsiaTheme="minorEastAsia"/>
          <w:bCs/>
          <w:sz w:val="30"/>
        </w:rPr>
      </w:pPr>
    </w:p>
    <w:p>
      <w:pPr>
        <w:rPr>
          <w:rFonts w:ascii="黑体" w:hAnsi="宋体" w:eastAsia="黑体"/>
          <w:bCs/>
          <w:sz w:val="28"/>
          <w:szCs w:val="28"/>
        </w:rPr>
      </w:pPr>
      <w:r>
        <w:rPr>
          <w:rFonts w:ascii="黑体" w:hAnsi="宋体" w:eastAsia="黑体"/>
          <w:bCs/>
          <w:sz w:val="28"/>
          <w:szCs w:val="28"/>
        </w:rPr>
        <w:br w:type="page"/>
      </w:r>
    </w:p>
    <w:p>
      <w:pPr>
        <w:pStyle w:val="2"/>
      </w:pPr>
    </w:p>
    <w:p>
      <w:pPr>
        <w:spacing w:line="400" w:lineRule="exact"/>
        <w:jc w:val="center"/>
        <w:outlineLvl w:val="1"/>
        <w:rPr>
          <w:rFonts w:ascii="黑体" w:eastAsia="黑体"/>
          <w:bCs/>
          <w:sz w:val="30"/>
        </w:rPr>
      </w:pPr>
      <w:r>
        <w:rPr>
          <w:rFonts w:hint="eastAsia" w:ascii="黑体" w:hAnsi="宋体" w:eastAsia="黑体"/>
          <w:bCs/>
          <w:sz w:val="28"/>
          <w:szCs w:val="28"/>
        </w:rPr>
        <w:t>一、投标函</w:t>
      </w:r>
    </w:p>
    <w:p>
      <w:pPr>
        <w:spacing w:line="400" w:lineRule="exact"/>
        <w:rPr>
          <w:rFonts w:asciiTheme="minorEastAsia" w:hAnsiTheme="minorEastAsia" w:eastAsiaTheme="minorEastAsia"/>
          <w:bCs/>
          <w:sz w:val="24"/>
        </w:rPr>
      </w:pPr>
    </w:p>
    <w:p>
      <w:pPr>
        <w:spacing w:line="400" w:lineRule="exact"/>
        <w:rPr>
          <w:rFonts w:asciiTheme="minorEastAsia" w:hAnsiTheme="minorEastAsia" w:eastAsiaTheme="minorEastAsia"/>
          <w:bCs/>
          <w:sz w:val="24"/>
        </w:rPr>
      </w:pPr>
      <w:r>
        <w:rPr>
          <w:rFonts w:hint="eastAsia" w:asciiTheme="minorEastAsia" w:hAnsiTheme="minorEastAsia" w:eastAsiaTheme="minorEastAsia"/>
          <w:bCs/>
          <w:sz w:val="24"/>
        </w:rPr>
        <w:t>致江阴市</w:t>
      </w:r>
      <w:r>
        <w:rPr>
          <w:rFonts w:hint="eastAsia" w:asciiTheme="minorEastAsia" w:hAnsiTheme="minorEastAsia" w:eastAsiaTheme="minorEastAsia"/>
          <w:bCs/>
          <w:sz w:val="24"/>
          <w:lang w:val="en-US" w:eastAsia="zh-CN"/>
        </w:rPr>
        <w:t>第五人民医院</w:t>
      </w:r>
      <w:r>
        <w:rPr>
          <w:rFonts w:hint="eastAsia" w:asciiTheme="minorEastAsia" w:hAnsiTheme="minorEastAsia" w:eastAsiaTheme="minorEastAsia"/>
          <w:bCs/>
          <w:sz w:val="24"/>
        </w:rPr>
        <w:t>：</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我方收到贵</w:t>
      </w:r>
      <w:r>
        <w:rPr>
          <w:rFonts w:hint="eastAsia" w:asciiTheme="minorEastAsia" w:hAnsiTheme="minorEastAsia" w:eastAsiaTheme="minorEastAsia"/>
          <w:bCs/>
          <w:sz w:val="24"/>
          <w:lang w:val="en-US" w:eastAsia="zh-CN"/>
        </w:rPr>
        <w:t>医院</w:t>
      </w:r>
      <w:r>
        <w:rPr>
          <w:rFonts w:hint="eastAsia" w:asciiTheme="minorEastAsia" w:hAnsiTheme="minorEastAsia" w:eastAsiaTheme="minorEastAsia"/>
          <w:bCs/>
          <w:sz w:val="24"/>
        </w:rPr>
        <w:t>招标文件，经仔细阅读和研究，我们决定参加此项目的投标。</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1、愿意按照招标文件的一切要求，参加本项目的投标</w:t>
      </w:r>
      <w:r>
        <w:rPr>
          <w:rFonts w:hint="eastAsia" w:asciiTheme="minorEastAsia" w:hAnsiTheme="minorEastAsia" w:eastAsiaTheme="minorEastAsia"/>
          <w:sz w:val="24"/>
        </w:rPr>
        <w:t>，</w:t>
      </w:r>
      <w:r>
        <w:rPr>
          <w:rFonts w:hint="eastAsia" w:asciiTheme="minorEastAsia" w:hAnsiTheme="minorEastAsia" w:eastAsiaTheme="minorEastAsia"/>
          <w:bCs/>
          <w:sz w:val="24"/>
        </w:rPr>
        <w:t>投标报价详见《开标一览表》。</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2、我方同意按招标文件的规定，本投标文件的投标有效期限为开标后90天。</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3、我方愿意提供招标文件中要求的原始资料及可能另外要求的与投标有关的任何资料，并保证我方已提供和将要提供的资料是真实的、准确的。</w:t>
      </w:r>
    </w:p>
    <w:p>
      <w:pPr>
        <w:spacing w:line="400" w:lineRule="exact"/>
        <w:ind w:firstLine="480" w:firstLineChars="200"/>
        <w:outlineLvl w:val="2"/>
        <w:rPr>
          <w:rFonts w:asciiTheme="minorEastAsia" w:hAnsiTheme="minorEastAsia" w:eastAsiaTheme="minorEastAsia"/>
          <w:bCs/>
          <w:sz w:val="24"/>
        </w:rPr>
      </w:pPr>
      <w:r>
        <w:rPr>
          <w:rFonts w:hint="eastAsia" w:asciiTheme="minorEastAsia" w:hAnsiTheme="minorEastAsia" w:eastAsiaTheme="minorEastAsia"/>
          <w:bCs/>
          <w:sz w:val="24"/>
        </w:rPr>
        <w:t>4、我方认为你们有权决定中标者。</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5、我方愿意遵守《中华人民共和国政府采购法》、</w:t>
      </w:r>
      <w:r>
        <w:rPr>
          <w:rFonts w:hint="eastAsia" w:asciiTheme="minorEastAsia" w:hAnsiTheme="minorEastAsia" w:eastAsiaTheme="minorEastAsia"/>
          <w:sz w:val="24"/>
        </w:rPr>
        <w:t>《中华人民共和国政府采购法实施条例》</w:t>
      </w:r>
      <w:r>
        <w:rPr>
          <w:rFonts w:hint="eastAsia" w:asciiTheme="minorEastAsia" w:hAnsiTheme="minorEastAsia" w:eastAsiaTheme="minorEastAsia"/>
          <w:bCs/>
          <w:sz w:val="24"/>
        </w:rPr>
        <w:t xml:space="preserve">，并按《中华人民共和国民法典》、财政部《政府采购货物和服务招标投标管理办法》和合同条款履行自己的全部责任。 </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6、我方认可并遵守采购文件的所有规定，放弃对招标（采购）文件、评标办法、评分细则及配分提出质疑的权利。 </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7、如我们在投标截止期后撤回投标或中标后拒绝遵守投标承诺或拒绝在规定的时间内与采购人签订合同，则将接受相应处罚。</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8、如果我方被确定为中标单位，我方愿意在合同签署时支付履约保证金。且我方如未履行招标文件、投标文件和合同条款的，我方愿意赔偿由此而造成的一切损失，并同意接受按招标文件的相关要求对我方进行处理，有不可抗力情形的除外。</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9、一旦我方中标，我方将根据招标文件的规定，严格履行合同的责任和义务，保证按期、按质、按量完成项目。</w:t>
      </w:r>
    </w:p>
    <w:p>
      <w:pPr>
        <w:spacing w:line="400" w:lineRule="exact"/>
        <w:ind w:left="132"/>
        <w:rPr>
          <w:rFonts w:asciiTheme="minorEastAsia" w:hAnsiTheme="minorEastAsia" w:eastAsiaTheme="minorEastAsia"/>
          <w:bCs/>
          <w:sz w:val="24"/>
        </w:rPr>
      </w:pPr>
    </w:p>
    <w:p>
      <w:pPr>
        <w:spacing w:line="400" w:lineRule="exact"/>
        <w:ind w:firstLine="480" w:firstLineChars="200"/>
        <w:rPr>
          <w:rFonts w:asciiTheme="minorEastAsia" w:hAnsiTheme="minorEastAsia" w:eastAsiaTheme="minorEastAsia"/>
          <w:bCs/>
          <w:sz w:val="24"/>
        </w:rPr>
      </w:pP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电话：</w:t>
      </w: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传真：</w:t>
      </w: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地址：</w:t>
      </w: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邮编：</w:t>
      </w:r>
    </w:p>
    <w:p>
      <w:pPr>
        <w:spacing w:line="400" w:lineRule="exact"/>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电子邮箱：</w:t>
      </w:r>
    </w:p>
    <w:p/>
    <w:p>
      <w:pPr>
        <w:spacing w:line="400" w:lineRule="exact"/>
        <w:rPr>
          <w:rFonts w:ascii="宋体" w:hAnsi="宋体" w:eastAsia="楷体_GB2312"/>
          <w:bCs/>
          <w:sz w:val="24"/>
        </w:rPr>
      </w:pPr>
    </w:p>
    <w:p>
      <w:pPr>
        <w:spacing w:line="400" w:lineRule="exact"/>
        <w:jc w:val="center"/>
        <w:outlineLvl w:val="9"/>
        <w:rPr>
          <w:rStyle w:val="15"/>
          <w:rFonts w:ascii="黑体" w:eastAsia="黑体"/>
          <w:bCs/>
          <w:color w:val="auto"/>
          <w:sz w:val="28"/>
          <w:szCs w:val="28"/>
          <w:u w:val="none"/>
        </w:rPr>
      </w:pPr>
    </w:p>
    <w:p>
      <w:pPr>
        <w:spacing w:line="400" w:lineRule="exact"/>
        <w:jc w:val="center"/>
        <w:outlineLvl w:val="9"/>
        <w:rPr>
          <w:rStyle w:val="15"/>
          <w:rFonts w:ascii="黑体" w:eastAsia="黑体"/>
          <w:bCs/>
          <w:color w:val="auto"/>
          <w:sz w:val="28"/>
          <w:szCs w:val="28"/>
          <w:u w:val="none"/>
        </w:rPr>
      </w:pPr>
    </w:p>
    <w:p>
      <w:pPr>
        <w:spacing w:line="400" w:lineRule="exact"/>
        <w:outlineLvl w:val="9"/>
        <w:rPr>
          <w:rStyle w:val="15"/>
          <w:rFonts w:ascii="黑体" w:eastAsia="黑体"/>
          <w:bCs/>
          <w:color w:val="auto"/>
          <w:sz w:val="28"/>
          <w:szCs w:val="28"/>
          <w:u w:val="none"/>
        </w:rPr>
      </w:pPr>
    </w:p>
    <w:p>
      <w:pPr>
        <w:spacing w:line="400" w:lineRule="exact"/>
        <w:jc w:val="center"/>
        <w:outlineLvl w:val="1"/>
        <w:rPr>
          <w:rStyle w:val="15"/>
          <w:rFonts w:ascii="黑体" w:eastAsia="黑体"/>
          <w:bCs/>
          <w:color w:val="auto"/>
          <w:sz w:val="28"/>
          <w:szCs w:val="28"/>
          <w:u w:val="none"/>
        </w:rPr>
      </w:pPr>
      <w:r>
        <w:rPr>
          <w:rStyle w:val="15"/>
          <w:rFonts w:hint="eastAsia" w:ascii="黑体" w:eastAsia="黑体"/>
          <w:bCs/>
          <w:color w:val="auto"/>
          <w:sz w:val="28"/>
          <w:szCs w:val="28"/>
          <w:u w:val="none"/>
        </w:rPr>
        <w:t>二、开标一览表</w:t>
      </w:r>
    </w:p>
    <w:p>
      <w:pPr>
        <w:spacing w:line="400" w:lineRule="exact"/>
        <w:ind w:left="1020"/>
        <w:jc w:val="center"/>
        <w:outlineLvl w:val="9"/>
        <w:rPr>
          <w:rStyle w:val="15"/>
          <w:rFonts w:eastAsia="楷体_GB2312"/>
          <w:b/>
          <w:bCs/>
          <w:color w:val="auto"/>
          <w:sz w:val="28"/>
          <w:szCs w:val="28"/>
          <w:u w:val="none"/>
        </w:rPr>
      </w:pPr>
    </w:p>
    <w:tbl>
      <w:tblPr>
        <w:tblStyle w:val="12"/>
        <w:tblW w:w="9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5"/>
        <w:gridCol w:w="7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2075" w:type="dxa"/>
            <w:vAlign w:val="center"/>
          </w:tcPr>
          <w:p>
            <w:pPr>
              <w:widowControl/>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项目编号</w:t>
            </w:r>
          </w:p>
        </w:tc>
        <w:tc>
          <w:tcPr>
            <w:tcW w:w="7224" w:type="dxa"/>
            <w:vAlign w:val="center"/>
          </w:tcPr>
          <w:p>
            <w:pPr>
              <w:widowControl/>
              <w:spacing w:line="400" w:lineRule="exact"/>
              <w:jc w:val="center"/>
              <w:rPr>
                <w:rFonts w:hint="eastAsia" w:cs="宋体" w:asciiTheme="minorEastAsia" w:hAnsiTheme="minorEastAsia" w:eastAsiaTheme="minorEastAsia"/>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2075" w:type="dxa"/>
            <w:vAlign w:val="center"/>
          </w:tcPr>
          <w:p>
            <w:pPr>
              <w:widowControl/>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项目名称</w:t>
            </w:r>
          </w:p>
        </w:tc>
        <w:tc>
          <w:tcPr>
            <w:tcW w:w="7224" w:type="dxa"/>
            <w:vAlign w:val="center"/>
          </w:tcPr>
          <w:p>
            <w:pPr>
              <w:widowControl/>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 xml:space="preserve">江阴市第五人民医院协同管理系统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8" w:hRule="atLeast"/>
          <w:jc w:val="center"/>
        </w:trPr>
        <w:tc>
          <w:tcPr>
            <w:tcW w:w="2075" w:type="dxa"/>
            <w:vAlign w:val="center"/>
          </w:tcPr>
          <w:p>
            <w:pPr>
              <w:widowControl/>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项目报价</w:t>
            </w:r>
          </w:p>
          <w:p>
            <w:pPr>
              <w:widowControl/>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（单位：元）</w:t>
            </w:r>
          </w:p>
        </w:tc>
        <w:tc>
          <w:tcPr>
            <w:tcW w:w="7224" w:type="dxa"/>
            <w:vAlign w:val="center"/>
          </w:tcPr>
          <w:p>
            <w:pPr>
              <w:widowControl/>
              <w:spacing w:line="480" w:lineRule="auto"/>
              <w:ind w:firstLine="480" w:firstLineChars="200"/>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小写：</w:t>
            </w:r>
            <w:r>
              <w:rPr>
                <w:rFonts w:cs="宋体" w:asciiTheme="minorEastAsia" w:hAnsiTheme="minorEastAsia" w:eastAsiaTheme="minorEastAsia"/>
                <w:kern w:val="0"/>
                <w:sz w:val="24"/>
              </w:rPr>
              <w:softHyphen/>
            </w:r>
            <w:r>
              <w:rPr>
                <w:rFonts w:hint="eastAsia" w:cs="宋体" w:asciiTheme="minorEastAsia" w:hAnsiTheme="minorEastAsia" w:eastAsiaTheme="minorEastAsia"/>
                <w:kern w:val="0"/>
                <w:sz w:val="24"/>
              </w:rPr>
              <w:softHyphen/>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大写：</w:t>
            </w:r>
            <w:r>
              <w:rPr>
                <w:rFonts w:hint="eastAsia" w:cs="宋体" w:asciiTheme="minorEastAsia" w:hAnsiTheme="minorEastAsia" w:eastAsiaTheme="minorEastAsia"/>
                <w:kern w:val="0"/>
                <w:sz w:val="24"/>
                <w:u w:val="single"/>
              </w:rPr>
              <w:t xml:space="preserve">                  　　　        </w:t>
            </w:r>
          </w:p>
        </w:tc>
      </w:tr>
    </w:tbl>
    <w:p>
      <w:pPr>
        <w:spacing w:line="400" w:lineRule="exact"/>
        <w:ind w:firstLine="5160" w:firstLineChars="2150"/>
        <w:rPr>
          <w:rFonts w:ascii="宋体" w:hAnsi="宋体" w:eastAsia="楷体_GB2312"/>
          <w:bCs/>
          <w:sz w:val="24"/>
        </w:rPr>
      </w:pPr>
      <w:bookmarkStart w:id="38" w:name="_Toc145474400"/>
      <w:bookmarkStart w:id="39" w:name="_Toc158691780"/>
      <w:bookmarkStart w:id="40" w:name="_Toc194386107"/>
    </w:p>
    <w:p>
      <w:pPr>
        <w:spacing w:line="400" w:lineRule="exact"/>
        <w:ind w:firstLine="5160" w:firstLineChars="2150"/>
        <w:rPr>
          <w:rFonts w:ascii="宋体" w:hAnsi="宋体" w:eastAsia="楷体_GB2312"/>
          <w:bCs/>
          <w:sz w:val="24"/>
        </w:rPr>
      </w:pPr>
    </w:p>
    <w:p>
      <w:pPr>
        <w:spacing w:line="400" w:lineRule="exact"/>
        <w:ind w:firstLine="3600" w:firstLineChars="1500"/>
        <w:jc w:val="left"/>
        <w:outlineLvl w:val="2"/>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spacing w:line="400" w:lineRule="exact"/>
        <w:jc w:val="center"/>
        <w:outlineLvl w:val="9"/>
        <w:rPr>
          <w:rFonts w:ascii="黑体" w:eastAsia="黑体"/>
          <w:sz w:val="28"/>
          <w:szCs w:val="28"/>
        </w:rPr>
      </w:pPr>
    </w:p>
    <w:bookmarkEnd w:id="38"/>
    <w:bookmarkEnd w:id="39"/>
    <w:bookmarkEnd w:id="40"/>
    <w:p>
      <w:pPr>
        <w:spacing w:line="400" w:lineRule="exact"/>
        <w:outlineLvl w:val="9"/>
        <w:rPr>
          <w:rFonts w:ascii="黑体" w:eastAsia="黑体"/>
          <w:sz w:val="28"/>
          <w:szCs w:val="28"/>
        </w:rPr>
      </w:pPr>
      <w:bookmarkStart w:id="41" w:name="_Toc194739809"/>
      <w:bookmarkStart w:id="42" w:name="_Toc222799676"/>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p>
      <w:pPr>
        <w:spacing w:line="400" w:lineRule="exact"/>
        <w:jc w:val="center"/>
        <w:outlineLvl w:val="1"/>
        <w:rPr>
          <w:rFonts w:ascii="黑体" w:eastAsia="黑体"/>
          <w:sz w:val="28"/>
          <w:szCs w:val="28"/>
        </w:rPr>
      </w:pPr>
      <w:r>
        <w:rPr>
          <w:rFonts w:hint="eastAsia" w:ascii="黑体" w:eastAsia="黑体"/>
          <w:sz w:val="28"/>
          <w:szCs w:val="28"/>
        </w:rPr>
        <w:t>三、报价明细表</w:t>
      </w:r>
    </w:p>
    <w:p>
      <w:pPr>
        <w:spacing w:line="400" w:lineRule="exact"/>
        <w:rPr>
          <w:rFonts w:ascii="楷体_GB2312" w:eastAsia="楷体_GB2312"/>
          <w:b/>
          <w:sz w:val="28"/>
          <w:szCs w:val="28"/>
        </w:rPr>
      </w:pPr>
    </w:p>
    <w:tbl>
      <w:tblPr>
        <w:tblStyle w:val="12"/>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7"/>
        <w:gridCol w:w="3113"/>
        <w:gridCol w:w="5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877" w:type="dxa"/>
            <w:vAlign w:val="center"/>
          </w:tcPr>
          <w:p>
            <w:pPr>
              <w:spacing w:line="400" w:lineRule="exact"/>
              <w:jc w:val="center"/>
              <w:rPr>
                <w:rFonts w:asciiTheme="minorEastAsia" w:hAnsiTheme="minorEastAsia" w:eastAsiaTheme="minorEastAsia"/>
                <w:sz w:val="24"/>
              </w:rPr>
            </w:pPr>
            <w:bookmarkStart w:id="43" w:name="_Toc129333640"/>
            <w:bookmarkStart w:id="44" w:name="_Toc158691783"/>
            <w:bookmarkStart w:id="45" w:name="_Toc194386110"/>
            <w:r>
              <w:rPr>
                <w:rFonts w:hint="eastAsia" w:asciiTheme="minorEastAsia" w:hAnsiTheme="minorEastAsia" w:eastAsiaTheme="minorEastAsia"/>
                <w:sz w:val="24"/>
              </w:rPr>
              <w:t>序号</w:t>
            </w:r>
          </w:p>
        </w:tc>
        <w:tc>
          <w:tcPr>
            <w:tcW w:w="3113"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费用名称</w:t>
            </w:r>
          </w:p>
        </w:tc>
        <w:tc>
          <w:tcPr>
            <w:tcW w:w="5224"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8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877" w:type="dxa"/>
            <w:vAlign w:val="center"/>
          </w:tcPr>
          <w:p>
            <w:pPr>
              <w:spacing w:line="400" w:lineRule="exact"/>
              <w:jc w:val="center"/>
              <w:rPr>
                <w:rFonts w:asciiTheme="minorEastAsia" w:hAnsiTheme="minorEastAsia" w:eastAsiaTheme="minorEastAsia"/>
                <w:sz w:val="24"/>
              </w:rPr>
            </w:pPr>
          </w:p>
        </w:tc>
        <w:tc>
          <w:tcPr>
            <w:tcW w:w="3113" w:type="dxa"/>
            <w:vAlign w:val="center"/>
          </w:tcPr>
          <w:p>
            <w:pPr>
              <w:spacing w:line="400" w:lineRule="exact"/>
              <w:rPr>
                <w:rFonts w:asciiTheme="minorEastAsia" w:hAnsiTheme="minorEastAsia" w:eastAsiaTheme="minorEastAsia"/>
                <w:sz w:val="24"/>
              </w:rPr>
            </w:pPr>
          </w:p>
        </w:tc>
        <w:tc>
          <w:tcPr>
            <w:tcW w:w="5224" w:type="dxa"/>
            <w:vAlign w:val="center"/>
          </w:tcPr>
          <w:p>
            <w:pPr>
              <w:spacing w:line="400" w:lineRule="exact"/>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3990" w:type="dxa"/>
            <w:gridSpan w:val="2"/>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5224" w:type="dxa"/>
            <w:vAlign w:val="center"/>
          </w:tcPr>
          <w:p>
            <w:pPr>
              <w:spacing w:line="400" w:lineRule="exact"/>
              <w:rPr>
                <w:rFonts w:asciiTheme="minorEastAsia" w:hAnsiTheme="minorEastAsia" w:eastAsiaTheme="minorEastAsia"/>
                <w:sz w:val="24"/>
                <w:u w:val="single"/>
              </w:rPr>
            </w:pPr>
            <w:r>
              <w:rPr>
                <w:rFonts w:hint="eastAsia" w:asciiTheme="minorEastAsia" w:hAnsiTheme="minorEastAsia" w:eastAsiaTheme="minorEastAsia"/>
                <w:sz w:val="24"/>
              </w:rPr>
              <w:t>小写：￥</w:t>
            </w:r>
            <w:r>
              <w:rPr>
                <w:rFonts w:hint="eastAsia" w:asciiTheme="minorEastAsia" w:hAnsiTheme="minorEastAsia" w:eastAsiaTheme="minorEastAsia"/>
                <w:sz w:val="24"/>
                <w:u w:val="single"/>
              </w:rPr>
              <w:t xml:space="preserve">                                </w:t>
            </w:r>
          </w:p>
          <w:p>
            <w:pPr>
              <w:spacing w:line="400" w:lineRule="exact"/>
              <w:rPr>
                <w:rFonts w:asciiTheme="minorEastAsia" w:hAnsiTheme="minorEastAsia" w:eastAsiaTheme="minorEastAsia"/>
                <w:sz w:val="24"/>
                <w:u w:val="single"/>
              </w:rPr>
            </w:pPr>
            <w:r>
              <w:rPr>
                <w:rFonts w:hint="eastAsia" w:asciiTheme="minorEastAsia" w:hAnsiTheme="minorEastAsia" w:eastAsiaTheme="minorEastAsia"/>
                <w:sz w:val="24"/>
              </w:rPr>
              <w:t>大写：人民币</w:t>
            </w:r>
            <w:r>
              <w:rPr>
                <w:rFonts w:hint="eastAsia" w:asciiTheme="minorEastAsia" w:hAnsiTheme="minorEastAsia" w:eastAsiaTheme="minorEastAsia"/>
                <w:sz w:val="24"/>
                <w:u w:val="single"/>
              </w:rPr>
              <w:t xml:space="preserve">                            </w:t>
            </w:r>
          </w:p>
        </w:tc>
      </w:tr>
    </w:tbl>
    <w:p>
      <w:pPr>
        <w:spacing w:line="400" w:lineRule="exact"/>
        <w:ind w:firstLine="600" w:firstLineChars="250"/>
        <w:rPr>
          <w:rFonts w:asciiTheme="majorEastAsia" w:hAnsiTheme="majorEastAsia" w:eastAsiaTheme="majorEastAsia"/>
          <w:bCs/>
          <w:sz w:val="24"/>
        </w:rPr>
      </w:pPr>
    </w:p>
    <w:p>
      <w:pPr>
        <w:spacing w:line="400" w:lineRule="exact"/>
        <w:ind w:firstLine="600" w:firstLineChars="250"/>
        <w:rPr>
          <w:rFonts w:ascii="宋体" w:hAnsi="宋体" w:eastAsia="楷体_GB2312"/>
          <w:bCs/>
          <w:sz w:val="24"/>
        </w:rPr>
      </w:pPr>
    </w:p>
    <w:bookmarkEnd w:id="43"/>
    <w:bookmarkEnd w:id="44"/>
    <w:bookmarkEnd w:id="45"/>
    <w:p>
      <w:pPr>
        <w:spacing w:line="400" w:lineRule="exact"/>
        <w:ind w:firstLine="3600" w:firstLineChars="1500"/>
        <w:jc w:val="left"/>
        <w:outlineLvl w:val="2"/>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spacing w:line="400" w:lineRule="exact"/>
        <w:jc w:val="center"/>
        <w:rPr>
          <w:rFonts w:ascii="宋体" w:hAnsi="宋体" w:cs="宋体"/>
          <w:sz w:val="24"/>
        </w:rPr>
      </w:pPr>
    </w:p>
    <w:p>
      <w:pPr>
        <w:spacing w:line="400" w:lineRule="exact"/>
        <w:jc w:val="center"/>
        <w:outlineLvl w:val="9"/>
        <w:rPr>
          <w:rFonts w:ascii="楷体_GB2312" w:eastAsia="楷体_GB2312"/>
          <w:b/>
          <w:sz w:val="28"/>
          <w:szCs w:val="28"/>
        </w:rPr>
      </w:pPr>
      <w:r>
        <w:rPr>
          <w:rFonts w:hint="eastAsia" w:ascii="宋体" w:hAnsi="宋体" w:cs="宋体"/>
          <w:b/>
          <w:sz w:val="28"/>
          <w:szCs w:val="28"/>
        </w:rPr>
        <w:br w:type="page"/>
      </w:r>
    </w:p>
    <w:p>
      <w:pPr>
        <w:pStyle w:val="8"/>
        <w:ind w:left="1470" w:right="1470"/>
        <w:rPr>
          <w:rFonts w:ascii="黑体" w:eastAsia="黑体"/>
          <w:sz w:val="28"/>
          <w:szCs w:val="28"/>
        </w:rPr>
      </w:pPr>
    </w:p>
    <w:p>
      <w:pPr>
        <w:spacing w:line="400" w:lineRule="exact"/>
        <w:jc w:val="center"/>
        <w:outlineLvl w:val="1"/>
        <w:rPr>
          <w:rFonts w:ascii="黑体" w:eastAsia="黑体"/>
          <w:sz w:val="28"/>
          <w:szCs w:val="28"/>
        </w:rPr>
      </w:pPr>
      <w:r>
        <w:rPr>
          <w:rFonts w:hint="eastAsia" w:ascii="黑体" w:eastAsia="黑体"/>
          <w:sz w:val="28"/>
          <w:szCs w:val="28"/>
        </w:rPr>
        <w:t>四、详细配置一览表</w:t>
      </w:r>
    </w:p>
    <w:p>
      <w:pPr>
        <w:pStyle w:val="8"/>
        <w:ind w:left="0" w:leftChars="0" w:right="1470"/>
      </w:pPr>
    </w:p>
    <w:tbl>
      <w:tblPr>
        <w:tblStyle w:val="12"/>
        <w:tblW w:w="9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992"/>
        <w:gridCol w:w="852"/>
        <w:gridCol w:w="1135"/>
        <w:gridCol w:w="1277"/>
        <w:gridCol w:w="993"/>
        <w:gridCol w:w="1277"/>
        <w:gridCol w:w="851"/>
        <w:gridCol w:w="710"/>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13" w:type="dxa"/>
            <w:tcBorders>
              <w:top w:val="single" w:color="auto" w:sz="12" w:space="0"/>
              <w:left w:val="single" w:color="auto" w:sz="12"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序号</w:t>
            </w:r>
          </w:p>
        </w:tc>
        <w:tc>
          <w:tcPr>
            <w:tcW w:w="992" w:type="dxa"/>
            <w:tcBorders>
              <w:top w:val="single" w:color="auto" w:sz="12" w:space="0"/>
              <w:left w:val="single" w:color="auto" w:sz="6" w:space="0"/>
              <w:bottom w:val="single" w:color="auto" w:sz="6" w:space="0"/>
              <w:right w:val="single" w:color="auto" w:sz="6" w:space="0"/>
            </w:tcBorders>
            <w:vAlign w:val="center"/>
          </w:tcPr>
          <w:p>
            <w:pPr>
              <w:pStyle w:val="9"/>
              <w:spacing w:line="400" w:lineRule="exact"/>
              <w:jc w:val="center"/>
              <w:rPr>
                <w:rFonts w:ascii="宋体" w:hAnsi="宋体"/>
                <w:b/>
                <w:bCs/>
                <w:sz w:val="21"/>
                <w:szCs w:val="21"/>
              </w:rPr>
            </w:pPr>
            <w:r>
              <w:rPr>
                <w:rFonts w:hint="eastAsia" w:ascii="宋体" w:hAnsi="宋体"/>
                <w:b/>
                <w:bCs/>
                <w:sz w:val="21"/>
                <w:szCs w:val="21"/>
              </w:rPr>
              <w:t>名称</w:t>
            </w:r>
          </w:p>
        </w:tc>
        <w:tc>
          <w:tcPr>
            <w:tcW w:w="852"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品牌</w:t>
            </w:r>
          </w:p>
        </w:tc>
        <w:tc>
          <w:tcPr>
            <w:tcW w:w="1135"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型号</w:t>
            </w:r>
          </w:p>
        </w:tc>
        <w:tc>
          <w:tcPr>
            <w:tcW w:w="1277"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数量/单位</w:t>
            </w:r>
          </w:p>
        </w:tc>
        <w:tc>
          <w:tcPr>
            <w:tcW w:w="993"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单报价</w:t>
            </w:r>
          </w:p>
        </w:tc>
        <w:tc>
          <w:tcPr>
            <w:tcW w:w="1277"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分项总报价</w:t>
            </w:r>
          </w:p>
        </w:tc>
        <w:tc>
          <w:tcPr>
            <w:tcW w:w="851"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生产厂家</w:t>
            </w:r>
          </w:p>
        </w:tc>
        <w:tc>
          <w:tcPr>
            <w:tcW w:w="710"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质保期</w:t>
            </w:r>
          </w:p>
        </w:tc>
        <w:tc>
          <w:tcPr>
            <w:tcW w:w="1330" w:type="dxa"/>
            <w:tcBorders>
              <w:top w:val="single" w:color="auto" w:sz="12" w:space="0"/>
              <w:left w:val="single" w:color="auto" w:sz="6" w:space="0"/>
              <w:bottom w:val="single" w:color="auto" w:sz="6" w:space="0"/>
              <w:right w:val="single" w:color="auto" w:sz="12" w:space="0"/>
            </w:tcBorders>
            <w:vAlign w:val="center"/>
          </w:tcPr>
          <w:p>
            <w:pPr>
              <w:widowControl/>
              <w:spacing w:line="400" w:lineRule="exact"/>
              <w:jc w:val="center"/>
              <w:rPr>
                <w:rFonts w:ascii="宋体" w:hAnsi="宋体"/>
                <w:b/>
                <w:bCs/>
                <w:szCs w:val="21"/>
              </w:rPr>
            </w:pPr>
            <w:r>
              <w:rPr>
                <w:rFonts w:hint="eastAsia" w:ascii="宋体" w:hAnsi="宋体"/>
                <w:b/>
                <w:bCs/>
                <w:szCs w:val="21"/>
              </w:rPr>
              <w:t>是否属于     小、微型企业产品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kern w:val="0"/>
                <w:szCs w:val="21"/>
              </w:rPr>
            </w:pPr>
            <w:r>
              <w:rPr>
                <w:rFonts w:hint="eastAsia" w:ascii="宋体" w:hAnsi="宋体"/>
                <w:kern w:val="0"/>
                <w:szCs w:val="21"/>
              </w:rPr>
              <w:t>1</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3</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13" w:type="dxa"/>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widowControl/>
              <w:spacing w:line="400" w:lineRule="exact"/>
              <w:jc w:val="center"/>
              <w:rPr>
                <w:rFonts w:ascii="宋体" w:hAnsi="宋体" w:cs="宋体"/>
                <w:kern w:val="0"/>
                <w:szCs w:val="21"/>
              </w:rPr>
            </w:pPr>
          </w:p>
        </w:tc>
        <w:tc>
          <w:tcPr>
            <w:tcW w:w="852"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135"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993"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277"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851"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710"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330" w:type="dxa"/>
            <w:tcBorders>
              <w:top w:val="single" w:color="auto" w:sz="6" w:space="0"/>
              <w:left w:val="single" w:color="auto" w:sz="6" w:space="0"/>
              <w:bottom w:val="single" w:color="auto" w:sz="12" w:space="0"/>
              <w:right w:val="single" w:color="auto" w:sz="12" w:space="0"/>
            </w:tcBorders>
            <w:vAlign w:val="center"/>
          </w:tcPr>
          <w:p>
            <w:pPr>
              <w:spacing w:line="400" w:lineRule="exact"/>
              <w:jc w:val="center"/>
              <w:rPr>
                <w:rFonts w:ascii="宋体" w:hAnsi="宋体"/>
                <w:szCs w:val="21"/>
              </w:rPr>
            </w:pPr>
          </w:p>
        </w:tc>
      </w:tr>
    </w:tbl>
    <w:p>
      <w:pPr>
        <w:spacing w:line="400" w:lineRule="exact"/>
        <w:jc w:val="center"/>
        <w:outlineLvl w:val="9"/>
        <w:rPr>
          <w:rFonts w:ascii="楷体_GB2312" w:eastAsia="楷体_GB2312"/>
          <w:sz w:val="28"/>
          <w:szCs w:val="28"/>
        </w:rPr>
      </w:pP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注：1、所报产品的各项指标必须等于或大于采购文件需求中所列要求。</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2、请各投标单位根据本项目的相关需求，提出符合实际的报价明细，偏离或补充之处请作重点说明。</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3、本表可根据需要自行添行。</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4、因表述含糊导致的评审风险将由投标人承担。（必须详细填写品牌、型号。）</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5、在“是否属于小、微型企业产品”栏内填写“是”或“否”。如填写“是”，必须在“生产厂家”栏内加填小、微型企业的完整名称，以及提供《中小企业声明函》；如未按要求填写和提供有效证明或相关内容表述不清的，不得享受价格扣除。</w:t>
      </w:r>
      <w:r>
        <w:rPr>
          <w:rFonts w:hint="eastAsia" w:ascii="宋体" w:hAnsi="宋体" w:cs="宋体"/>
          <w:kern w:val="0"/>
          <w:szCs w:val="21"/>
          <w:lang w:val="zh-CN"/>
        </w:rPr>
        <w:t>投标单位对所报相关数据的真实性负责，</w:t>
      </w:r>
      <w:r>
        <w:rPr>
          <w:rFonts w:hint="eastAsia" w:ascii="宋体" w:hAnsi="宋体" w:cs="宋体"/>
          <w:kern w:val="0"/>
          <w:szCs w:val="21"/>
          <w:lang w:val="en-US" w:eastAsia="zh-CN"/>
        </w:rPr>
        <w:t>江阴市第五人民医院</w:t>
      </w:r>
      <w:r>
        <w:rPr>
          <w:rFonts w:hint="eastAsia" w:ascii="宋体" w:hAnsi="宋体" w:cs="宋体"/>
          <w:kern w:val="0"/>
          <w:szCs w:val="21"/>
          <w:lang w:val="zh-CN"/>
        </w:rPr>
        <w:t>有权将相关内容进行公示；</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6、如有需要说明的事项，请在备注中列明。</w:t>
      </w:r>
    </w:p>
    <w:p>
      <w:pPr>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7、监狱企业、残疾人福利性单位视同小型、微型企业。</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2"/>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spacing w:line="400" w:lineRule="exact"/>
        <w:jc w:val="center"/>
        <w:outlineLvl w:val="9"/>
        <w:rPr>
          <w:rFonts w:ascii="楷体_GB2312" w:eastAsia="楷体_GB2312"/>
          <w:b/>
          <w:sz w:val="28"/>
          <w:szCs w:val="28"/>
        </w:rPr>
      </w:pPr>
    </w:p>
    <w:p>
      <w:pPr>
        <w:pStyle w:val="8"/>
        <w:ind w:left="1470" w:right="1470"/>
        <w:rPr>
          <w:rFonts w:ascii="楷体_GB2312" w:eastAsia="楷体_GB2312"/>
          <w:b/>
          <w:sz w:val="28"/>
          <w:szCs w:val="28"/>
        </w:rPr>
      </w:pPr>
    </w:p>
    <w:p>
      <w:pPr>
        <w:spacing w:line="360" w:lineRule="exact"/>
        <w:rPr>
          <w:rFonts w:ascii="黑体" w:eastAsia="黑体"/>
          <w:sz w:val="28"/>
          <w:szCs w:val="28"/>
        </w:rPr>
      </w:pPr>
    </w:p>
    <w:p>
      <w:pPr>
        <w:spacing w:line="360" w:lineRule="exact"/>
        <w:jc w:val="center"/>
        <w:rPr>
          <w:rFonts w:ascii="黑体" w:eastAsia="黑体"/>
          <w:sz w:val="28"/>
          <w:szCs w:val="28"/>
        </w:rPr>
      </w:pPr>
    </w:p>
    <w:p>
      <w:pPr>
        <w:spacing w:line="360" w:lineRule="exact"/>
        <w:jc w:val="both"/>
        <w:rPr>
          <w:rFonts w:ascii="黑体" w:eastAsia="黑体"/>
          <w:sz w:val="28"/>
          <w:szCs w:val="28"/>
        </w:rPr>
      </w:pPr>
    </w:p>
    <w:p>
      <w:pPr>
        <w:spacing w:line="360" w:lineRule="exact"/>
        <w:jc w:val="center"/>
        <w:outlineLvl w:val="1"/>
        <w:rPr>
          <w:rFonts w:ascii="黑体" w:eastAsia="黑体"/>
          <w:sz w:val="28"/>
          <w:szCs w:val="28"/>
        </w:rPr>
      </w:pPr>
      <w:r>
        <w:rPr>
          <w:rFonts w:hint="eastAsia" w:ascii="黑体" w:eastAsia="黑体"/>
          <w:sz w:val="28"/>
          <w:szCs w:val="28"/>
        </w:rPr>
        <w:t>五、商务、技术要求响应及偏离表</w:t>
      </w:r>
    </w:p>
    <w:p>
      <w:pPr>
        <w:spacing w:line="360" w:lineRule="exact"/>
        <w:jc w:val="center"/>
        <w:rPr>
          <w:rFonts w:asciiTheme="minorEastAsia" w:hAnsiTheme="minorEastAsia" w:eastAsiaTheme="minorEastAsia"/>
          <w:b/>
          <w:sz w:val="28"/>
          <w:szCs w:val="28"/>
        </w:rPr>
      </w:pPr>
    </w:p>
    <w:p>
      <w:pPr>
        <w:spacing w:line="36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（一）商务要求响应及偏离表</w:t>
      </w:r>
    </w:p>
    <w:tbl>
      <w:tblPr>
        <w:tblStyle w:val="12"/>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415"/>
        <w:gridCol w:w="2308"/>
        <w:gridCol w:w="1713"/>
        <w:gridCol w:w="1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41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招标文件</w:t>
            </w:r>
          </w:p>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商务要求</w:t>
            </w:r>
          </w:p>
        </w:tc>
        <w:tc>
          <w:tcPr>
            <w:tcW w:w="2308"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投标文件</w:t>
            </w:r>
          </w:p>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商务规范描述</w:t>
            </w:r>
          </w:p>
        </w:tc>
        <w:tc>
          <w:tcPr>
            <w:tcW w:w="1713"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有无偏离</w:t>
            </w:r>
          </w:p>
        </w:tc>
        <w:tc>
          <w:tcPr>
            <w:tcW w:w="1911"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偏离内容及原因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bl>
    <w:p>
      <w:pPr>
        <w:spacing w:line="36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（二）技术要求响应及偏离表</w:t>
      </w:r>
    </w:p>
    <w:tbl>
      <w:tblPr>
        <w:tblStyle w:val="12"/>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415"/>
        <w:gridCol w:w="2308"/>
        <w:gridCol w:w="1713"/>
        <w:gridCol w:w="1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41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招标文件</w:t>
            </w:r>
          </w:p>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技术要求</w:t>
            </w:r>
          </w:p>
        </w:tc>
        <w:tc>
          <w:tcPr>
            <w:tcW w:w="2308"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投标文件</w:t>
            </w:r>
          </w:p>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技术规范描述</w:t>
            </w:r>
          </w:p>
        </w:tc>
        <w:tc>
          <w:tcPr>
            <w:tcW w:w="1713"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有无偏离</w:t>
            </w:r>
          </w:p>
        </w:tc>
        <w:tc>
          <w:tcPr>
            <w:tcW w:w="1911"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偏离内容及原因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asciiTheme="minorEastAsia" w:hAnsiTheme="minorEastAsia" w:eastAsiaTheme="minorEastAsia"/>
                <w:sz w:val="24"/>
              </w:rPr>
            </w:pPr>
          </w:p>
        </w:tc>
        <w:tc>
          <w:tcPr>
            <w:tcW w:w="2415" w:type="dxa"/>
            <w:vAlign w:val="center"/>
          </w:tcPr>
          <w:p>
            <w:pPr>
              <w:spacing w:line="360" w:lineRule="exact"/>
              <w:jc w:val="center"/>
              <w:rPr>
                <w:rFonts w:asciiTheme="minorEastAsia" w:hAnsiTheme="minorEastAsia" w:eastAsiaTheme="minorEastAsia"/>
                <w:sz w:val="24"/>
              </w:rPr>
            </w:pPr>
          </w:p>
        </w:tc>
        <w:tc>
          <w:tcPr>
            <w:tcW w:w="2308" w:type="dxa"/>
            <w:vAlign w:val="center"/>
          </w:tcPr>
          <w:p>
            <w:pPr>
              <w:spacing w:line="360" w:lineRule="exact"/>
              <w:jc w:val="center"/>
              <w:rPr>
                <w:rFonts w:asciiTheme="minorEastAsia" w:hAnsiTheme="minorEastAsia" w:eastAsiaTheme="minorEastAsia"/>
                <w:sz w:val="24"/>
              </w:rPr>
            </w:pPr>
          </w:p>
        </w:tc>
        <w:tc>
          <w:tcPr>
            <w:tcW w:w="1713" w:type="dxa"/>
            <w:vAlign w:val="center"/>
          </w:tcPr>
          <w:p>
            <w:pPr>
              <w:spacing w:line="360" w:lineRule="exact"/>
              <w:jc w:val="center"/>
              <w:rPr>
                <w:rFonts w:asciiTheme="minorEastAsia" w:hAnsiTheme="minorEastAsia" w:eastAsiaTheme="minorEastAsia"/>
                <w:sz w:val="24"/>
              </w:rPr>
            </w:pPr>
          </w:p>
        </w:tc>
        <w:tc>
          <w:tcPr>
            <w:tcW w:w="1911" w:type="dxa"/>
            <w:vAlign w:val="center"/>
          </w:tcPr>
          <w:p>
            <w:pPr>
              <w:spacing w:line="360" w:lineRule="exact"/>
              <w:jc w:val="center"/>
              <w:rPr>
                <w:rFonts w:asciiTheme="minorEastAsia" w:hAnsiTheme="minorEastAsia" w:eastAsiaTheme="minorEastAsia"/>
                <w:sz w:val="24"/>
              </w:rPr>
            </w:pPr>
          </w:p>
        </w:tc>
      </w:tr>
    </w:tbl>
    <w:p>
      <w:pPr>
        <w:spacing w:line="360" w:lineRule="exact"/>
        <w:rPr>
          <w:rFonts w:asciiTheme="minorEastAsia" w:hAnsiTheme="minorEastAsia" w:eastAsiaTheme="minorEastAsia"/>
          <w:b/>
          <w:szCs w:val="21"/>
        </w:rPr>
      </w:pPr>
      <w:r>
        <w:rPr>
          <w:rFonts w:hint="eastAsia" w:asciiTheme="minorEastAsia" w:hAnsiTheme="minorEastAsia" w:eastAsiaTheme="minorEastAsia"/>
          <w:szCs w:val="21"/>
        </w:rPr>
        <w:t>注：1、投标单位应据实、详细填写上述表格，因未标明或表述含糊导致的评审风险将由投标单位承担。</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2、质保期、工期、付款方式、售后服务等商务响应情况在“商务要求响应及偏离表”填写。产品技术参数要求响应等技术响应情况在“技术要求响应及偏离表”填写。</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4、“投标文件技术规范描述”完全照抄“招标文件技术要求”的，有被判定为负偏离的风险。</w:t>
      </w:r>
    </w:p>
    <w:p>
      <w:pPr>
        <w:spacing w:line="360" w:lineRule="exact"/>
        <w:ind w:firstLine="420" w:firstLineChars="200"/>
        <w:jc w:val="left"/>
        <w:outlineLvl w:val="2"/>
        <w:rPr>
          <w:rFonts w:asciiTheme="minorEastAsia" w:hAnsiTheme="minorEastAsia" w:eastAsiaTheme="minorEastAsia"/>
          <w:szCs w:val="21"/>
        </w:rPr>
      </w:pPr>
      <w:r>
        <w:rPr>
          <w:rFonts w:hint="eastAsia" w:asciiTheme="minorEastAsia" w:hAnsiTheme="minorEastAsia" w:eastAsiaTheme="minorEastAsia"/>
          <w:szCs w:val="21"/>
        </w:rPr>
        <w:t>5、表格不够可另接。</w:t>
      </w:r>
    </w:p>
    <w:p>
      <w:pPr>
        <w:spacing w:line="360" w:lineRule="exact"/>
        <w:jc w:val="center"/>
        <w:rPr>
          <w:rFonts w:ascii="黑体" w:eastAsia="黑体"/>
          <w:sz w:val="28"/>
          <w:szCs w:val="28"/>
        </w:rPr>
      </w:pPr>
    </w:p>
    <w:p>
      <w:pPr>
        <w:spacing w:line="360" w:lineRule="exact"/>
        <w:jc w:val="center"/>
        <w:rPr>
          <w:rFonts w:ascii="黑体" w:eastAsia="黑体"/>
          <w:sz w:val="28"/>
          <w:szCs w:val="28"/>
        </w:rPr>
      </w:pPr>
    </w:p>
    <w:p>
      <w:pPr>
        <w:spacing w:line="360" w:lineRule="exact"/>
        <w:jc w:val="center"/>
        <w:rPr>
          <w:rFonts w:ascii="黑体" w:eastAsia="黑体"/>
          <w:sz w:val="28"/>
          <w:szCs w:val="28"/>
        </w:rPr>
      </w:pPr>
    </w:p>
    <w:p>
      <w:pPr>
        <w:spacing w:line="400" w:lineRule="exact"/>
        <w:ind w:firstLine="3600" w:firstLineChars="1500"/>
        <w:jc w:val="left"/>
        <w:outlineLvl w:val="1"/>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spacing w:line="400" w:lineRule="exact"/>
        <w:jc w:val="center"/>
        <w:outlineLvl w:val="1"/>
        <w:rPr>
          <w:rFonts w:ascii="黑体" w:eastAsia="黑体"/>
          <w:sz w:val="28"/>
          <w:szCs w:val="28"/>
        </w:rPr>
      </w:pPr>
      <w:r>
        <w:rPr>
          <w:rFonts w:hint="eastAsia" w:ascii="黑体" w:eastAsia="黑体"/>
          <w:sz w:val="28"/>
          <w:szCs w:val="28"/>
        </w:rPr>
        <w:t>六、项目实施方案及需要说明的其他内容</w:t>
      </w:r>
    </w:p>
    <w:p>
      <w:pPr>
        <w:spacing w:line="400" w:lineRule="exact"/>
        <w:jc w:val="center"/>
        <w:outlineLvl w:val="9"/>
        <w:rPr>
          <w:rFonts w:ascii="楷体_GB2312" w:eastAsia="楷体_GB2312"/>
          <w:b/>
          <w:sz w:val="24"/>
        </w:rPr>
      </w:pP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1、投标人对该项目招标文件中提出的采购需求提供具体的项目实施方案：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（1）设备安装调试方案；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（2）售后服务、培训方案；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（3）人员配置方案；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（4）其他方案等。</w:t>
      </w:r>
    </w:p>
    <w:p>
      <w:pPr>
        <w:spacing w:line="400" w:lineRule="exact"/>
        <w:ind w:firstLine="480" w:firstLineChars="200"/>
        <w:rPr>
          <w:rFonts w:asciiTheme="minorEastAsia" w:hAnsiTheme="minorEastAsia" w:eastAsiaTheme="minorEastAsia"/>
          <w:sz w:val="24"/>
        </w:rPr>
      </w:pPr>
    </w:p>
    <w:p>
      <w:pPr>
        <w:spacing w:line="400" w:lineRule="exact"/>
        <w:ind w:firstLine="480" w:firstLineChars="200"/>
        <w:outlineLvl w:val="2"/>
        <w:rPr>
          <w:rFonts w:asciiTheme="minorEastAsia" w:hAnsiTheme="minorEastAsia" w:eastAsiaTheme="minorEastAsia"/>
          <w:sz w:val="24"/>
        </w:rPr>
      </w:pPr>
      <w:r>
        <w:rPr>
          <w:rFonts w:hint="eastAsia" w:asciiTheme="minorEastAsia" w:hAnsiTheme="minorEastAsia" w:eastAsiaTheme="minorEastAsia"/>
          <w:sz w:val="24"/>
        </w:rPr>
        <w:t>2、投标人认为需要加以说明的其他内容，格式自定。</w:t>
      </w:r>
    </w:p>
    <w:p>
      <w:pPr>
        <w:spacing w:line="400" w:lineRule="exact"/>
        <w:jc w:val="center"/>
        <w:outlineLvl w:val="9"/>
        <w:rPr>
          <w:rFonts w:ascii="黑体" w:eastAsia="黑体"/>
          <w:sz w:val="28"/>
          <w:szCs w:val="28"/>
        </w:rPr>
      </w:pPr>
    </w:p>
    <w:p>
      <w:pPr>
        <w:spacing w:line="400" w:lineRule="exact"/>
        <w:jc w:val="center"/>
        <w:outlineLvl w:val="9"/>
        <w:rPr>
          <w:rFonts w:ascii="黑体" w:eastAsia="黑体"/>
          <w:sz w:val="28"/>
          <w:szCs w:val="28"/>
        </w:rPr>
      </w:pPr>
    </w:p>
    <w:bookmarkEnd w:id="41"/>
    <w:bookmarkEnd w:id="42"/>
    <w:p>
      <w:pPr>
        <w:pStyle w:val="5"/>
        <w:spacing w:before="0" w:after="0" w:line="400" w:lineRule="exact"/>
        <w:jc w:val="center"/>
        <w:outlineLvl w:val="9"/>
        <w:rPr>
          <w:rFonts w:ascii="黑体"/>
          <w:b w:val="0"/>
          <w:sz w:val="28"/>
          <w:szCs w:val="28"/>
        </w:rPr>
      </w:pPr>
      <w:bookmarkStart w:id="46" w:name="_Toc158691787"/>
      <w:bookmarkStart w:id="47" w:name="_Toc222799679"/>
    </w:p>
    <w:p>
      <w:pPr>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p>
      <w:pPr>
        <w:pStyle w:val="8"/>
        <w:ind w:left="1470" w:right="1470"/>
        <w:rPr>
          <w:rFonts w:ascii="黑体"/>
          <w:sz w:val="28"/>
          <w:szCs w:val="28"/>
        </w:rPr>
      </w:pPr>
    </w:p>
    <w:bookmarkEnd w:id="46"/>
    <w:bookmarkEnd w:id="47"/>
    <w:p>
      <w:pPr>
        <w:keepNext/>
        <w:keepLines/>
        <w:spacing w:line="400" w:lineRule="exact"/>
        <w:jc w:val="center"/>
        <w:outlineLvl w:val="9"/>
        <w:rPr>
          <w:rFonts w:ascii="黑体" w:hAnsi="宋体" w:eastAsia="黑体"/>
          <w:sz w:val="28"/>
          <w:szCs w:val="28"/>
        </w:rPr>
      </w:pPr>
    </w:p>
    <w:p>
      <w:pPr>
        <w:pStyle w:val="5"/>
        <w:spacing w:before="0" w:after="0" w:line="400" w:lineRule="exact"/>
        <w:jc w:val="center"/>
        <w:rPr>
          <w:rFonts w:ascii="黑体"/>
          <w:b w:val="0"/>
          <w:sz w:val="24"/>
        </w:rPr>
      </w:pPr>
      <w:r>
        <w:rPr>
          <w:rFonts w:hint="eastAsia" w:ascii="黑体"/>
          <w:b w:val="0"/>
          <w:sz w:val="28"/>
          <w:szCs w:val="28"/>
          <w:lang w:val="en-US" w:eastAsia="zh-CN"/>
        </w:rPr>
        <w:t>七</w:t>
      </w:r>
      <w:r>
        <w:rPr>
          <w:rFonts w:hint="eastAsia" w:ascii="黑体"/>
          <w:b w:val="0"/>
          <w:sz w:val="28"/>
          <w:szCs w:val="28"/>
        </w:rPr>
        <w:t>、</w:t>
      </w:r>
      <w:r>
        <w:rPr>
          <w:rFonts w:hint="eastAsia" w:ascii="黑体" w:hAnsi="宋体"/>
          <w:b w:val="0"/>
          <w:bCs w:val="0"/>
          <w:sz w:val="28"/>
          <w:szCs w:val="28"/>
        </w:rPr>
        <w:t>法定代表人授权委托书</w:t>
      </w:r>
    </w:p>
    <w:p>
      <w:pPr>
        <w:spacing w:line="400" w:lineRule="exact"/>
        <w:ind w:firstLine="480" w:firstLineChars="200"/>
        <w:rPr>
          <w:rFonts w:ascii="仿宋_GB2312" w:eastAsia="仿宋_GB2312"/>
          <w:bCs/>
          <w:sz w:val="24"/>
        </w:rPr>
      </w:pPr>
    </w:p>
    <w:p>
      <w:pPr>
        <w:spacing w:line="400" w:lineRule="exact"/>
        <w:rPr>
          <w:rFonts w:ascii="宋体" w:hAnsi="宋体"/>
          <w:b/>
          <w:bCs/>
          <w:sz w:val="24"/>
        </w:rPr>
      </w:pPr>
      <w:r>
        <w:rPr>
          <w:rFonts w:hint="eastAsia" w:ascii="宋体" w:hAnsi="宋体"/>
          <w:b/>
          <w:bCs/>
          <w:sz w:val="24"/>
          <w:lang w:val="en-US" w:eastAsia="zh-CN"/>
        </w:rPr>
        <w:t>江阴市第五人民医院</w:t>
      </w:r>
      <w:r>
        <w:rPr>
          <w:rFonts w:hint="eastAsia" w:ascii="宋体" w:hAnsi="宋体"/>
          <w:b/>
          <w:bCs/>
          <w:sz w:val="24"/>
        </w:rPr>
        <w:t>：</w:t>
      </w:r>
    </w:p>
    <w:p>
      <w:pPr>
        <w:spacing w:line="400" w:lineRule="exact"/>
        <w:ind w:firstLine="480" w:firstLineChars="200"/>
        <w:rPr>
          <w:rFonts w:ascii="宋体" w:hAnsi="宋体"/>
          <w:bCs/>
          <w:sz w:val="24"/>
          <w:u w:val="single"/>
        </w:rPr>
      </w:pPr>
      <w:r>
        <w:rPr>
          <w:rFonts w:hint="eastAsia" w:ascii="宋体" w:hAnsi="宋体"/>
          <w:bCs/>
          <w:sz w:val="24"/>
          <w:u w:val="single"/>
        </w:rPr>
        <w:t>　　　　　　　　　　　　　　　　　　　　　　　</w:t>
      </w:r>
      <w:r>
        <w:rPr>
          <w:rFonts w:hint="eastAsia" w:ascii="宋体" w:hAnsi="宋体"/>
          <w:bCs/>
          <w:sz w:val="24"/>
        </w:rPr>
        <w:t>系中华人民共和国合法企业。法定地址：</w:t>
      </w:r>
      <w:r>
        <w:rPr>
          <w:rFonts w:hint="eastAsia" w:ascii="宋体" w:hAnsi="宋体"/>
          <w:bCs/>
          <w:sz w:val="24"/>
          <w:u w:val="single"/>
        </w:rPr>
        <w:t>　　　　　　　　　　　　　　　　　　　　　　　　　　　　　　　　　</w:t>
      </w:r>
    </w:p>
    <w:p>
      <w:pPr>
        <w:spacing w:line="400" w:lineRule="exact"/>
        <w:ind w:firstLine="480" w:firstLineChars="200"/>
        <w:rPr>
          <w:rFonts w:ascii="宋体" w:hAnsi="宋体"/>
          <w:bCs/>
          <w:sz w:val="24"/>
        </w:rPr>
      </w:pPr>
      <w:r>
        <w:rPr>
          <w:rFonts w:hint="eastAsia" w:ascii="宋体" w:hAnsi="宋体"/>
          <w:bCs/>
          <w:sz w:val="24"/>
        </w:rPr>
        <w:t>特授权</w:t>
      </w:r>
      <w:r>
        <w:rPr>
          <w:rFonts w:hint="eastAsia" w:ascii="宋体" w:hAnsi="宋体"/>
          <w:bCs/>
          <w:sz w:val="24"/>
          <w:u w:val="single"/>
        </w:rPr>
        <w:t xml:space="preserve">    　</w:t>
      </w:r>
      <w:r>
        <w:rPr>
          <w:rFonts w:hint="eastAsia" w:ascii="宋体" w:hAnsi="宋体"/>
          <w:bCs/>
          <w:sz w:val="24"/>
        </w:rPr>
        <w:t>代表我公司（单位）全权办理针对</w:t>
      </w:r>
      <w:r>
        <w:rPr>
          <w:rFonts w:hint="eastAsia" w:ascii="宋体" w:hAnsi="宋体"/>
          <w:bCs/>
          <w:sz w:val="24"/>
          <w:u w:val="single"/>
        </w:rPr>
        <w:t xml:space="preserve">　　　　             </w:t>
      </w:r>
      <w:r>
        <w:rPr>
          <w:rFonts w:hint="eastAsia" w:ascii="宋体" w:hAnsi="宋体"/>
          <w:bCs/>
          <w:sz w:val="24"/>
        </w:rPr>
        <w:t>项目（项目编号：</w:t>
      </w:r>
      <w:r>
        <w:rPr>
          <w:rFonts w:hint="eastAsia" w:ascii="宋体" w:hAnsi="宋体"/>
          <w:bCs/>
          <w:sz w:val="24"/>
          <w:u w:val="single"/>
        </w:rPr>
        <w:t xml:space="preserve">　　　　      </w:t>
      </w:r>
      <w:r>
        <w:rPr>
          <w:rFonts w:hint="eastAsia" w:ascii="宋体" w:hAnsi="宋体"/>
          <w:bCs/>
          <w:sz w:val="24"/>
        </w:rPr>
        <w:t>）的投标、参与评标、签约等具体工作，并签署全部有关的文件、协议及合同。</w:t>
      </w:r>
    </w:p>
    <w:p>
      <w:pPr>
        <w:spacing w:line="400" w:lineRule="exact"/>
        <w:ind w:firstLine="480" w:firstLineChars="200"/>
        <w:rPr>
          <w:rFonts w:ascii="宋体" w:hAnsi="宋体"/>
          <w:bCs/>
          <w:sz w:val="24"/>
        </w:rPr>
      </w:pPr>
      <w:r>
        <w:rPr>
          <w:rFonts w:hint="eastAsia" w:ascii="宋体" w:hAnsi="宋体"/>
          <w:bCs/>
          <w:sz w:val="24"/>
        </w:rPr>
        <w:t>我公司（单位）对授权委托人的签名负全部责任。</w:t>
      </w:r>
    </w:p>
    <w:p>
      <w:pPr>
        <w:spacing w:line="400" w:lineRule="exact"/>
        <w:ind w:firstLine="480" w:firstLineChars="200"/>
        <w:rPr>
          <w:rFonts w:ascii="宋体" w:hAnsi="宋体"/>
          <w:bCs/>
          <w:sz w:val="24"/>
        </w:rPr>
      </w:pPr>
      <w:r>
        <w:rPr>
          <w:rFonts w:hint="eastAsia" w:ascii="宋体" w:hAnsi="宋体"/>
          <w:bCs/>
          <w:sz w:val="24"/>
        </w:rPr>
        <w:t>在撤销授权的书面通知送达你处以前，本授权书一直有效，授权委托人签署的所有文件（在授权书有效期内签署的）不因授权的撤销而失效。授权委托人无转委托权。</w:t>
      </w:r>
    </w:p>
    <w:p>
      <w:pPr>
        <w:spacing w:line="400" w:lineRule="exact"/>
        <w:ind w:firstLine="480" w:firstLineChars="200"/>
        <w:rPr>
          <w:rFonts w:ascii="宋体" w:hAnsi="宋体"/>
          <w:bCs/>
          <w:sz w:val="24"/>
        </w:rPr>
      </w:pPr>
      <w:r>
        <w:rPr>
          <w:rFonts w:hint="eastAsia" w:ascii="宋体" w:hAnsi="宋体"/>
          <w:bCs/>
          <w:sz w:val="24"/>
        </w:rPr>
        <w:t>授权委托人情况：</w:t>
      </w:r>
    </w:p>
    <w:p>
      <w:pPr>
        <w:spacing w:line="400" w:lineRule="exact"/>
        <w:ind w:firstLine="480" w:firstLineChars="200"/>
        <w:rPr>
          <w:rFonts w:ascii="宋体" w:hAnsi="宋体"/>
          <w:bCs/>
          <w:sz w:val="24"/>
        </w:rPr>
      </w:pPr>
      <w:r>
        <w:rPr>
          <w:rFonts w:hint="eastAsia" w:ascii="宋体" w:hAnsi="宋体"/>
          <w:bCs/>
          <w:sz w:val="24"/>
        </w:rPr>
        <w:t>姓名：</w:t>
      </w:r>
      <w:r>
        <w:rPr>
          <w:rFonts w:hint="eastAsia" w:ascii="宋体" w:hAnsi="宋体"/>
          <w:bCs/>
          <w:sz w:val="24"/>
          <w:u w:val="single"/>
        </w:rPr>
        <w:t xml:space="preserve">            </w:t>
      </w:r>
      <w:r>
        <w:rPr>
          <w:rFonts w:hint="eastAsia" w:ascii="宋体" w:hAnsi="宋体"/>
          <w:bCs/>
          <w:sz w:val="24"/>
        </w:rPr>
        <w:t>性别：</w:t>
      </w:r>
      <w:r>
        <w:rPr>
          <w:rFonts w:hint="eastAsia" w:ascii="宋体" w:hAnsi="宋体"/>
          <w:bCs/>
          <w:sz w:val="24"/>
          <w:u w:val="single"/>
        </w:rPr>
        <w:t xml:space="preserve">       </w:t>
      </w:r>
      <w:r>
        <w:rPr>
          <w:rFonts w:hint="eastAsia" w:ascii="宋体" w:hAnsi="宋体"/>
          <w:bCs/>
          <w:sz w:val="24"/>
        </w:rPr>
        <w:t>年龄：</w:t>
      </w:r>
      <w:r>
        <w:rPr>
          <w:rFonts w:hint="eastAsia" w:ascii="宋体" w:hAnsi="宋体"/>
          <w:bCs/>
          <w:sz w:val="24"/>
          <w:u w:val="single"/>
        </w:rPr>
        <w:t xml:space="preserve">       </w:t>
      </w:r>
      <w:r>
        <w:rPr>
          <w:rFonts w:hint="eastAsia" w:ascii="宋体" w:hAnsi="宋体"/>
          <w:bCs/>
          <w:sz w:val="24"/>
        </w:rPr>
        <w:t>职务：</w:t>
      </w:r>
      <w:r>
        <w:rPr>
          <w:rFonts w:hint="eastAsia" w:ascii="宋体" w:hAnsi="宋体"/>
          <w:bCs/>
          <w:sz w:val="24"/>
          <w:u w:val="single"/>
        </w:rPr>
        <w:t xml:space="preserve">             </w:t>
      </w:r>
    </w:p>
    <w:p>
      <w:pPr>
        <w:spacing w:line="400" w:lineRule="exact"/>
        <w:ind w:firstLine="480" w:firstLineChars="200"/>
        <w:rPr>
          <w:rFonts w:ascii="宋体" w:hAnsi="宋体"/>
          <w:bCs/>
          <w:sz w:val="24"/>
        </w:rPr>
      </w:pPr>
      <w:r>
        <w:rPr>
          <w:rFonts w:hint="eastAsia" w:ascii="宋体" w:hAnsi="宋体"/>
          <w:bCs/>
          <w:sz w:val="24"/>
        </w:rPr>
        <w:t>身份证号码：</w:t>
      </w:r>
      <w:r>
        <w:rPr>
          <w:rFonts w:hint="eastAsia" w:ascii="宋体" w:hAnsi="宋体"/>
          <w:bCs/>
          <w:sz w:val="24"/>
          <w:u w:val="single"/>
        </w:rPr>
        <w:t xml:space="preserve">                        </w:t>
      </w:r>
      <w:r>
        <w:rPr>
          <w:rFonts w:hint="eastAsia" w:ascii="宋体" w:hAnsi="宋体"/>
          <w:bCs/>
          <w:sz w:val="24"/>
        </w:rPr>
        <w:t>电话：</w:t>
      </w:r>
      <w:r>
        <w:rPr>
          <w:rFonts w:hint="eastAsia" w:ascii="宋体" w:hAnsi="宋体"/>
          <w:bCs/>
          <w:sz w:val="24"/>
          <w:u w:val="single"/>
        </w:rPr>
        <w:t xml:space="preserve">                     </w:t>
      </w:r>
    </w:p>
    <w:p>
      <w:pPr>
        <w:spacing w:line="400" w:lineRule="exact"/>
        <w:ind w:firstLine="480" w:firstLineChars="200"/>
        <w:rPr>
          <w:rFonts w:ascii="宋体" w:hAnsi="宋体"/>
          <w:bCs/>
          <w:sz w:val="24"/>
        </w:rPr>
      </w:pPr>
      <w:r>
        <w:rPr>
          <w:rFonts w:hint="eastAsia" w:ascii="宋体" w:hAnsi="宋体"/>
          <w:bCs/>
          <w:sz w:val="24"/>
        </w:rPr>
        <w:t>通讯地址：</w:t>
      </w:r>
      <w:r>
        <w:rPr>
          <w:rFonts w:hint="eastAsia" w:ascii="宋体" w:hAnsi="宋体"/>
          <w:bCs/>
          <w:sz w:val="24"/>
          <w:u w:val="single"/>
        </w:rPr>
        <w:t xml:space="preserve">                                                     </w:t>
      </w:r>
    </w:p>
    <w:p>
      <w:pPr>
        <w:spacing w:line="400" w:lineRule="exact"/>
        <w:ind w:firstLine="4200" w:firstLineChars="1750"/>
        <w:rPr>
          <w:rFonts w:ascii="宋体" w:hAnsi="宋体"/>
          <w:bCs/>
          <w:sz w:val="24"/>
        </w:rPr>
      </w:pPr>
      <w:r>
        <w:rPr>
          <w:rFonts w:hint="eastAsia" w:ascii="宋体" w:hAnsi="宋体"/>
          <w:bCs/>
          <w:sz w:val="24"/>
        </w:rPr>
        <w:t>单位名称（盖章）：</w:t>
      </w:r>
      <w:r>
        <w:rPr>
          <w:rFonts w:hint="eastAsia" w:ascii="宋体" w:hAnsi="宋体"/>
          <w:bCs/>
          <w:sz w:val="24"/>
          <w:u w:val="single"/>
        </w:rPr>
        <w:t xml:space="preserve">               </w:t>
      </w:r>
    </w:p>
    <w:p>
      <w:pPr>
        <w:spacing w:line="400" w:lineRule="exact"/>
        <w:ind w:firstLine="480" w:firstLineChars="200"/>
        <w:rPr>
          <w:rFonts w:ascii="宋体" w:hAnsi="宋体"/>
          <w:bCs/>
          <w:sz w:val="24"/>
        </w:rPr>
      </w:pPr>
      <w:r>
        <w:rPr>
          <w:rFonts w:hint="eastAsia" w:ascii="宋体" w:hAnsi="宋体"/>
          <w:bCs/>
          <w:sz w:val="24"/>
        </w:rPr>
        <w:t xml:space="preserve">                      法定代表人（签名或盖章）：</w:t>
      </w:r>
      <w:r>
        <w:rPr>
          <w:rFonts w:hint="eastAsia" w:ascii="宋体" w:hAnsi="宋体"/>
          <w:bCs/>
          <w:sz w:val="24"/>
          <w:u w:val="single"/>
        </w:rPr>
        <w:t xml:space="preserve">                </w:t>
      </w:r>
    </w:p>
    <w:p>
      <w:pPr>
        <w:spacing w:line="400" w:lineRule="exact"/>
        <w:jc w:val="center"/>
        <w:rPr>
          <w:rFonts w:ascii="宋体" w:hAnsi="宋体"/>
          <w:b/>
          <w:bCs/>
          <w:sz w:val="24"/>
        </w:rPr>
      </w:pPr>
    </w:p>
    <w:p>
      <w:pPr>
        <w:spacing w:line="400" w:lineRule="exact"/>
        <w:jc w:val="center"/>
        <w:rPr>
          <w:rFonts w:ascii="宋体" w:hAnsi="宋体"/>
          <w:b/>
          <w:bCs/>
          <w:sz w:val="24"/>
        </w:rPr>
      </w:pPr>
      <w:r>
        <w:rPr>
          <w:rFonts w:hint="eastAsia" w:ascii="宋体" w:hAnsi="宋体"/>
          <w:b/>
          <w:bCs/>
          <w:sz w:val="24"/>
        </w:rPr>
        <w:t>【授权委托人必须提供本单位连续6个月（且至少包含近3个月中任意1个月份&lt;不含投标当月&gt;）为其缴纳社保的证明扫描件】</w:t>
      </w:r>
    </w:p>
    <w:p>
      <w:pPr>
        <w:spacing w:line="400" w:lineRule="exact"/>
        <w:jc w:val="center"/>
        <w:rPr>
          <w:rFonts w:ascii="宋体" w:hAnsi="宋体"/>
          <w:bCs/>
          <w:sz w:val="24"/>
        </w:rPr>
      </w:pPr>
    </w:p>
    <w:tbl>
      <w:tblPr>
        <w:tblStyle w:val="12"/>
        <w:tblpPr w:leftFromText="180" w:rightFromText="180" w:vertAnchor="text" w:horzAnchor="page" w:tblpXSpec="center" w:tblpY="46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2842" w:type="dxa"/>
            <w:vAlign w:val="center"/>
          </w:tcPr>
          <w:p>
            <w:pPr>
              <w:spacing w:line="400" w:lineRule="exact"/>
              <w:jc w:val="center"/>
              <w:rPr>
                <w:rFonts w:ascii="宋体" w:hAnsi="宋体"/>
                <w:bCs/>
                <w:sz w:val="24"/>
              </w:rPr>
            </w:pPr>
            <w:r>
              <w:rPr>
                <w:rFonts w:hint="eastAsia" w:ascii="宋体" w:hAnsi="宋体"/>
                <w:bCs/>
                <w:sz w:val="24"/>
              </w:rPr>
              <w:t>法定代表人身份证</w:t>
            </w:r>
          </w:p>
          <w:p>
            <w:pPr>
              <w:spacing w:line="400" w:lineRule="exact"/>
              <w:jc w:val="center"/>
              <w:rPr>
                <w:rFonts w:ascii="宋体" w:hAnsi="宋体"/>
                <w:bCs/>
                <w:sz w:val="24"/>
              </w:rPr>
            </w:pPr>
            <w:r>
              <w:rPr>
                <w:rFonts w:hint="eastAsia" w:ascii="宋体" w:hAnsi="宋体"/>
                <w:bCs/>
                <w:sz w:val="24"/>
              </w:rPr>
              <w:t>扫描件</w:t>
            </w:r>
          </w:p>
        </w:tc>
        <w:tc>
          <w:tcPr>
            <w:tcW w:w="2843" w:type="dxa"/>
            <w:tcBorders>
              <w:top w:val="nil"/>
              <w:bottom w:val="nil"/>
            </w:tcBorders>
          </w:tcPr>
          <w:p>
            <w:pPr>
              <w:spacing w:line="400" w:lineRule="exact"/>
              <w:rPr>
                <w:rFonts w:ascii="宋体" w:hAnsi="宋体"/>
                <w:bCs/>
                <w:sz w:val="24"/>
              </w:rPr>
            </w:pPr>
          </w:p>
        </w:tc>
        <w:tc>
          <w:tcPr>
            <w:tcW w:w="2843" w:type="dxa"/>
            <w:vAlign w:val="center"/>
          </w:tcPr>
          <w:p>
            <w:pPr>
              <w:spacing w:line="400" w:lineRule="exact"/>
              <w:jc w:val="center"/>
              <w:rPr>
                <w:rFonts w:ascii="宋体" w:hAnsi="宋体"/>
                <w:bCs/>
                <w:sz w:val="24"/>
              </w:rPr>
            </w:pPr>
            <w:r>
              <w:rPr>
                <w:rFonts w:hint="eastAsia" w:ascii="宋体" w:hAnsi="宋体"/>
                <w:bCs/>
                <w:sz w:val="24"/>
              </w:rPr>
              <w:t>授权委托人身份证</w:t>
            </w:r>
          </w:p>
          <w:p>
            <w:pPr>
              <w:spacing w:line="400" w:lineRule="exact"/>
              <w:jc w:val="center"/>
              <w:rPr>
                <w:rFonts w:ascii="宋体" w:hAnsi="宋体"/>
                <w:bCs/>
                <w:sz w:val="24"/>
              </w:rPr>
            </w:pPr>
            <w:r>
              <w:rPr>
                <w:rFonts w:hint="eastAsia" w:ascii="宋体" w:hAnsi="宋体"/>
                <w:bCs/>
                <w:sz w:val="24"/>
              </w:rPr>
              <w:t>扫描件</w:t>
            </w:r>
          </w:p>
        </w:tc>
      </w:tr>
    </w:tbl>
    <w:p>
      <w:pPr>
        <w:spacing w:line="400" w:lineRule="exact"/>
        <w:rPr>
          <w:rFonts w:ascii="宋体" w:hAnsi="宋体"/>
          <w:b/>
          <w:bCs/>
          <w:sz w:val="28"/>
          <w:szCs w:val="28"/>
        </w:rPr>
      </w:pPr>
    </w:p>
    <w:p>
      <w:pPr>
        <w:spacing w:line="400" w:lineRule="exact"/>
        <w:rPr>
          <w:rFonts w:ascii="宋体" w:hAnsi="宋体"/>
          <w:b/>
          <w:bCs/>
          <w:sz w:val="28"/>
          <w:szCs w:val="28"/>
        </w:rPr>
      </w:pPr>
    </w:p>
    <w:p>
      <w:pPr>
        <w:spacing w:line="400" w:lineRule="exact"/>
        <w:rPr>
          <w:rFonts w:ascii="黑体" w:hAnsi="宋体" w:eastAsia="楷体_GB2312"/>
          <w:b/>
          <w:bCs/>
          <w:sz w:val="28"/>
          <w:szCs w:val="28"/>
        </w:rPr>
      </w:pPr>
    </w:p>
    <w:p>
      <w:pPr>
        <w:spacing w:line="400" w:lineRule="exact"/>
        <w:rPr>
          <w:rFonts w:ascii="黑体" w:hAnsi="宋体" w:eastAsia="楷体_GB2312"/>
          <w:b/>
          <w:bCs/>
          <w:sz w:val="28"/>
          <w:szCs w:val="28"/>
        </w:rPr>
      </w:pPr>
    </w:p>
    <w:p>
      <w:pPr>
        <w:spacing w:line="400" w:lineRule="exact"/>
        <w:ind w:firstLine="562" w:firstLineChars="200"/>
        <w:rPr>
          <w:rFonts w:ascii="黑体" w:hAnsi="宋体" w:eastAsia="楷体_GB2312"/>
          <w:b/>
          <w:bCs/>
          <w:sz w:val="28"/>
          <w:szCs w:val="28"/>
        </w:rPr>
      </w:pPr>
    </w:p>
    <w:p>
      <w:pPr>
        <w:spacing w:line="400" w:lineRule="exact"/>
        <w:ind w:firstLine="562" w:firstLineChars="200"/>
        <w:rPr>
          <w:rFonts w:ascii="黑体" w:hAnsi="宋体" w:eastAsia="楷体_GB2312"/>
          <w:b/>
          <w:bCs/>
          <w:sz w:val="28"/>
          <w:szCs w:val="28"/>
        </w:rPr>
      </w:pPr>
    </w:p>
    <w:p>
      <w:pPr>
        <w:spacing w:line="400" w:lineRule="exact"/>
        <w:rPr>
          <w:rFonts w:ascii="黑体" w:hAnsi="宋体" w:eastAsia="楷体_GB2312"/>
          <w:b/>
          <w:bCs/>
          <w:sz w:val="28"/>
          <w:szCs w:val="28"/>
        </w:rPr>
      </w:pPr>
    </w:p>
    <w:p>
      <w:pPr>
        <w:spacing w:line="400" w:lineRule="exact"/>
        <w:rPr>
          <w:rFonts w:ascii="黑体" w:hAnsi="宋体" w:eastAsia="楷体_GB2312"/>
          <w:b/>
          <w:bCs/>
          <w:sz w:val="28"/>
          <w:szCs w:val="28"/>
        </w:rPr>
      </w:pPr>
    </w:p>
    <w:p>
      <w:pPr>
        <w:spacing w:line="400" w:lineRule="exact"/>
        <w:rPr>
          <w:rFonts w:ascii="黑体" w:hAnsi="宋体" w:eastAsia="楷体_GB2312"/>
          <w:b/>
          <w:bCs/>
          <w:sz w:val="28"/>
          <w:szCs w:val="28"/>
        </w:rPr>
      </w:pPr>
    </w:p>
    <w:p>
      <w:pPr>
        <w:spacing w:line="400" w:lineRule="exact"/>
        <w:jc w:val="center"/>
        <w:outlineLvl w:val="1"/>
        <w:rPr>
          <w:rFonts w:ascii="黑体" w:eastAsia="黑体"/>
          <w:bCs/>
          <w:sz w:val="28"/>
          <w:szCs w:val="28"/>
        </w:rPr>
      </w:pPr>
      <w:r>
        <w:rPr>
          <w:rFonts w:hint="eastAsia" w:ascii="黑体" w:hAnsi="宋体" w:eastAsia="黑体"/>
          <w:bCs/>
          <w:sz w:val="28"/>
          <w:szCs w:val="28"/>
        </w:rPr>
        <w:t>八、关于资格的声明函</w:t>
      </w:r>
    </w:p>
    <w:p>
      <w:pPr>
        <w:spacing w:line="400" w:lineRule="exact"/>
        <w:ind w:firstLine="420" w:firstLineChars="200"/>
        <w:rPr>
          <w:rFonts w:ascii="仿宋_GB2312" w:eastAsia="仿宋_GB2312"/>
          <w:bCs/>
        </w:rPr>
      </w:pP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lang w:val="en-US" w:eastAsia="zh-CN"/>
        </w:rPr>
        <w:t>采 购 项 目</w:t>
      </w:r>
      <w:r>
        <w:rPr>
          <w:rFonts w:hint="eastAsia" w:asciiTheme="minorEastAsia" w:hAnsiTheme="minorEastAsia" w:eastAsiaTheme="minorEastAsia"/>
          <w:bCs/>
          <w:sz w:val="24"/>
        </w:rPr>
        <w:t>：</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日　　</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　期：</w:t>
      </w:r>
    </w:p>
    <w:p>
      <w:pPr>
        <w:spacing w:line="400" w:lineRule="exact"/>
        <w:ind w:firstLine="480" w:firstLineChars="200"/>
        <w:rPr>
          <w:rFonts w:asciiTheme="minorEastAsia" w:hAnsiTheme="minorEastAsia" w:eastAsiaTheme="minorEastAsia"/>
          <w:bCs/>
          <w:sz w:val="24"/>
        </w:rPr>
      </w:pPr>
    </w:p>
    <w:p>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江阴市第五人民医院</w:t>
      </w:r>
      <w:r>
        <w:rPr>
          <w:rFonts w:hint="eastAsia" w:asciiTheme="minorEastAsia" w:hAnsiTheme="minorEastAsia" w:eastAsiaTheme="minorEastAsia"/>
          <w:b/>
          <w:bCs/>
          <w:sz w:val="24"/>
        </w:rPr>
        <w:t>：</w:t>
      </w:r>
    </w:p>
    <w:p>
      <w:pPr>
        <w:spacing w:line="400" w:lineRule="exact"/>
        <w:ind w:firstLine="480" w:firstLineChars="200"/>
        <w:rPr>
          <w:rFonts w:asciiTheme="minorEastAsia" w:hAnsiTheme="minorEastAsia" w:eastAsiaTheme="minorEastAsia"/>
          <w:bCs/>
          <w:sz w:val="24"/>
        </w:rPr>
      </w:pP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我公司（单位）参加本次</w:t>
      </w:r>
      <w:r>
        <w:rPr>
          <w:rFonts w:hint="eastAsia" w:asciiTheme="minorEastAsia" w:hAnsiTheme="minorEastAsia" w:eastAsiaTheme="minorEastAsia"/>
          <w:bCs/>
          <w:sz w:val="24"/>
          <w:u w:val="single"/>
        </w:rPr>
        <w:t>医院协同管理系统</w:t>
      </w:r>
      <w:r>
        <w:rPr>
          <w:rFonts w:hint="eastAsia" w:asciiTheme="minorEastAsia" w:hAnsiTheme="minorEastAsia" w:eastAsiaTheme="minorEastAsia"/>
          <w:bCs/>
          <w:sz w:val="24"/>
          <w:u w:val="single"/>
          <w:lang w:eastAsia="zh-CN"/>
        </w:rPr>
        <w:t xml:space="preserve"> </w:t>
      </w:r>
      <w:r>
        <w:rPr>
          <w:rFonts w:hint="eastAsia" w:asciiTheme="minorEastAsia" w:hAnsiTheme="minorEastAsia" w:eastAsiaTheme="minorEastAsia"/>
          <w:bCs/>
          <w:sz w:val="24"/>
        </w:rPr>
        <w:t>的投标，作如下承诺：</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1、我公司（单位）投标文件中所有关于投标资格的文件、证明、陈述均是真实的、准确的。</w:t>
      </w:r>
    </w:p>
    <w:p>
      <w:pPr>
        <w:spacing w:line="400" w:lineRule="exact"/>
        <w:ind w:firstLine="480" w:firstLineChars="200"/>
        <w:rPr>
          <w:rFonts w:asciiTheme="minorEastAsia" w:hAnsiTheme="minorEastAsia" w:eastAsiaTheme="minorEastAsia"/>
          <w:bCs/>
          <w:sz w:val="24"/>
        </w:rPr>
      </w:pPr>
      <w:r>
        <w:rPr>
          <w:rFonts w:asciiTheme="minorEastAsia" w:hAnsiTheme="minorEastAsia" w:eastAsiaTheme="minorEastAsia"/>
          <w:bCs/>
          <w:sz w:val="24"/>
        </w:rPr>
        <w:t>2、我公司（单位）未被列入“信用中国”网站、“中国政府采购网”列入失信被执行人、</w:t>
      </w:r>
      <w:r>
        <w:rPr>
          <w:rFonts w:hint="eastAsia" w:asciiTheme="minorEastAsia" w:hAnsiTheme="minorEastAsia" w:eastAsiaTheme="minorEastAsia"/>
          <w:bCs/>
          <w:sz w:val="24"/>
        </w:rPr>
        <w:t>重大税收违法失信主体</w:t>
      </w:r>
      <w:r>
        <w:rPr>
          <w:rFonts w:asciiTheme="minorEastAsia" w:hAnsiTheme="minorEastAsia" w:eastAsiaTheme="minorEastAsia"/>
          <w:bCs/>
          <w:sz w:val="24"/>
        </w:rPr>
        <w:t>、政府采购严重违法失信行为信息记录名单。</w:t>
      </w:r>
    </w:p>
    <w:p>
      <w:pPr>
        <w:spacing w:line="400" w:lineRule="exact"/>
        <w:ind w:firstLine="480" w:firstLineChars="200"/>
        <w:outlineLvl w:val="2"/>
        <w:rPr>
          <w:rFonts w:asciiTheme="minorEastAsia" w:hAnsiTheme="minorEastAsia" w:eastAsiaTheme="minorEastAsia"/>
          <w:bCs/>
          <w:sz w:val="24"/>
        </w:rPr>
      </w:pPr>
      <w:r>
        <w:rPr>
          <w:rFonts w:hint="eastAsia" w:asciiTheme="minorEastAsia" w:hAnsiTheme="minorEastAsia" w:eastAsiaTheme="minorEastAsia"/>
          <w:bCs/>
          <w:sz w:val="24"/>
        </w:rPr>
        <w:t>3、我公司（单位）不具有违反政府采购法第二十二条的情形。</w:t>
      </w:r>
    </w:p>
    <w:p>
      <w:pPr>
        <w:spacing w:line="400" w:lineRule="exact"/>
        <w:ind w:firstLine="480" w:firstLineChars="200"/>
        <w:rPr>
          <w:rFonts w:asciiTheme="minorEastAsia" w:hAnsiTheme="minorEastAsia" w:eastAsiaTheme="minorEastAsia"/>
          <w:bCs/>
          <w:sz w:val="24"/>
        </w:rPr>
      </w:pPr>
    </w:p>
    <w:p>
      <w:pPr>
        <w:spacing w:line="400" w:lineRule="exact"/>
        <w:ind w:firstLine="480" w:firstLineChars="200"/>
        <w:rPr>
          <w:rFonts w:asciiTheme="minorEastAsia" w:hAnsiTheme="minorEastAsia" w:eastAsiaTheme="minorEastAsia"/>
          <w:bCs/>
          <w:sz w:val="24"/>
        </w:rPr>
      </w:pPr>
    </w:p>
    <w:p>
      <w:pPr>
        <w:spacing w:line="40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若有违背，我公司（单位）愿意承担因“提供虚假材料谋取中标的”的一切法律后果。</w:t>
      </w:r>
    </w:p>
    <w:p>
      <w:pPr>
        <w:spacing w:line="400" w:lineRule="exact"/>
        <w:ind w:firstLine="480" w:firstLineChars="200"/>
        <w:rPr>
          <w:rFonts w:asciiTheme="minorEastAsia" w:hAnsiTheme="minorEastAsia" w:eastAsiaTheme="minorEastAsia"/>
          <w:bCs/>
          <w:sz w:val="24"/>
        </w:rPr>
      </w:pPr>
    </w:p>
    <w:p>
      <w:pPr>
        <w:spacing w:line="400" w:lineRule="exact"/>
        <w:ind w:firstLine="480" w:firstLineChars="200"/>
        <w:rPr>
          <w:rFonts w:asciiTheme="minorEastAsia" w:hAnsiTheme="minorEastAsia" w:eastAsiaTheme="minorEastAsia"/>
          <w:bCs/>
          <w:sz w:val="24"/>
        </w:rPr>
      </w:pPr>
    </w:p>
    <w:p>
      <w:pPr>
        <w:spacing w:line="400" w:lineRule="exact"/>
        <w:ind w:firstLine="3600" w:firstLineChars="1500"/>
        <w:jc w:val="left"/>
        <w:outlineLvl w:val="1"/>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spacing w:line="400" w:lineRule="exact"/>
        <w:rPr>
          <w:rFonts w:ascii="宋体" w:hAnsi="宋体" w:eastAsia="楷体_GB2312"/>
          <w:bCs/>
          <w:sz w:val="24"/>
        </w:rPr>
      </w:pPr>
    </w:p>
    <w:p>
      <w:pPr>
        <w:spacing w:line="400" w:lineRule="exact"/>
        <w:jc w:val="center"/>
        <w:outlineLvl w:val="9"/>
        <w:rPr>
          <w:rFonts w:ascii="黑体" w:hAnsi="黑体" w:eastAsia="黑体"/>
          <w:bCs/>
          <w:sz w:val="32"/>
          <w:szCs w:val="32"/>
        </w:rPr>
      </w:pPr>
      <w:r>
        <w:rPr>
          <w:rFonts w:ascii="楷体_GB2312" w:hAnsi="宋体" w:eastAsia="楷体_GB2312"/>
          <w:b/>
          <w:bCs/>
          <w:sz w:val="28"/>
          <w:szCs w:val="28"/>
        </w:rPr>
        <w:br w:type="page"/>
      </w:r>
      <w:bookmarkStart w:id="48" w:name="OLE_LINK13"/>
      <w:bookmarkStart w:id="49" w:name="OLE_LINK14"/>
    </w:p>
    <w:bookmarkEnd w:id="48"/>
    <w:bookmarkEnd w:id="49"/>
    <w:p>
      <w:pPr>
        <w:spacing w:line="500" w:lineRule="exact"/>
        <w:rPr>
          <w:rFonts w:ascii="楷体_GB2312" w:eastAsia="楷体_GB2312"/>
          <w:spacing w:val="6"/>
          <w:sz w:val="24"/>
        </w:rPr>
      </w:pPr>
    </w:p>
    <w:p>
      <w:pPr>
        <w:spacing w:line="500" w:lineRule="exact"/>
        <w:rPr>
          <w:rFonts w:ascii="楷体_GB2312" w:eastAsia="楷体_GB2312"/>
          <w:spacing w:val="6"/>
          <w:sz w:val="24"/>
        </w:rPr>
      </w:pPr>
    </w:p>
    <w:p>
      <w:pPr>
        <w:spacing w:line="500" w:lineRule="exact"/>
        <w:jc w:val="center"/>
        <w:outlineLvl w:val="1"/>
        <w:rPr>
          <w:rFonts w:ascii="楷体_GB2312" w:eastAsia="楷体_GB2312"/>
          <w:spacing w:val="6"/>
          <w:sz w:val="24"/>
        </w:rPr>
      </w:pPr>
      <w:r>
        <w:rPr>
          <w:rFonts w:hint="eastAsia" w:ascii="黑体" w:hAnsi="宋体" w:eastAsia="黑体"/>
          <w:sz w:val="28"/>
          <w:szCs w:val="28"/>
          <w:lang w:val="en-US" w:eastAsia="zh-CN"/>
        </w:rPr>
        <w:t>九</w:t>
      </w:r>
      <w:r>
        <w:rPr>
          <w:rFonts w:hint="eastAsia" w:ascii="黑体" w:hAnsi="宋体" w:eastAsia="黑体"/>
          <w:sz w:val="28"/>
          <w:szCs w:val="28"/>
        </w:rPr>
        <w:t>、具备履行合同所必需的设备和专业技术能力的书面声明</w:t>
      </w:r>
    </w:p>
    <w:p>
      <w:pPr>
        <w:spacing w:line="500" w:lineRule="exact"/>
        <w:ind w:firstLine="492"/>
        <w:jc w:val="center"/>
        <w:rPr>
          <w:rFonts w:ascii="宋体" w:hAnsi="宋体"/>
          <w:bCs/>
          <w:sz w:val="24"/>
        </w:rPr>
      </w:pPr>
    </w:p>
    <w:p>
      <w:pPr>
        <w:spacing w:line="500" w:lineRule="exact"/>
        <w:ind w:firstLine="492"/>
        <w:rPr>
          <w:rFonts w:asciiTheme="minorEastAsia" w:hAnsiTheme="minorEastAsia" w:eastAsiaTheme="minorEastAsia"/>
          <w:bCs/>
          <w:sz w:val="24"/>
        </w:rPr>
      </w:pPr>
      <w:r>
        <w:rPr>
          <w:rFonts w:hint="eastAsia" w:asciiTheme="minorEastAsia" w:hAnsiTheme="minorEastAsia" w:eastAsiaTheme="minorEastAsia"/>
          <w:bCs/>
          <w:sz w:val="24"/>
        </w:rPr>
        <w:t>我单位郑重声明：我单位具备履行本项采购合同所必需的设备和专业技术能力，为履行本项采购合同我公司具备如下主要设备和主要专业技术能力：</w:t>
      </w:r>
    </w:p>
    <w:p>
      <w:pPr>
        <w:spacing w:line="500" w:lineRule="exact"/>
        <w:ind w:firstLine="492"/>
        <w:rPr>
          <w:rFonts w:asciiTheme="minorEastAsia" w:hAnsiTheme="minorEastAsia" w:eastAsiaTheme="minorEastAsia"/>
          <w:bCs/>
          <w:sz w:val="24"/>
        </w:rPr>
      </w:pPr>
      <w:r>
        <w:rPr>
          <w:rFonts w:hint="eastAsia" w:asciiTheme="minorEastAsia" w:hAnsiTheme="minorEastAsia" w:eastAsiaTheme="minorEastAsia"/>
          <w:bCs/>
          <w:sz w:val="24"/>
        </w:rPr>
        <w:t>主要设备有：</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w:t>
      </w:r>
    </w:p>
    <w:p>
      <w:pPr>
        <w:spacing w:line="500" w:lineRule="exact"/>
        <w:ind w:firstLine="492"/>
        <w:rPr>
          <w:rFonts w:asciiTheme="minorEastAsia" w:hAnsiTheme="minorEastAsia" w:eastAsiaTheme="minorEastAsia"/>
          <w:bCs/>
          <w:sz w:val="24"/>
        </w:rPr>
      </w:pPr>
      <w:r>
        <w:rPr>
          <w:rFonts w:hint="eastAsia" w:asciiTheme="minorEastAsia" w:hAnsiTheme="minorEastAsia" w:eastAsiaTheme="minorEastAsia"/>
          <w:bCs/>
          <w:sz w:val="24"/>
        </w:rPr>
        <w:t>主要专业技术能力有：</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w:t>
      </w:r>
    </w:p>
    <w:p>
      <w:pPr>
        <w:spacing w:line="500" w:lineRule="exact"/>
        <w:rPr>
          <w:rFonts w:asciiTheme="minorEastAsia" w:hAnsiTheme="minorEastAsia" w:eastAsiaTheme="minorEastAsia"/>
          <w:bCs/>
          <w:spacing w:val="20"/>
          <w:sz w:val="72"/>
        </w:rPr>
      </w:pPr>
    </w:p>
    <w:p>
      <w:pPr>
        <w:spacing w:line="500" w:lineRule="exact"/>
        <w:rPr>
          <w:rFonts w:asciiTheme="minorEastAsia" w:hAnsiTheme="minorEastAsia" w:eastAsiaTheme="minorEastAsia"/>
          <w:bCs/>
          <w:spacing w:val="20"/>
          <w:sz w:val="72"/>
        </w:rPr>
      </w:pPr>
    </w:p>
    <w:p>
      <w:pPr>
        <w:spacing w:line="400" w:lineRule="exact"/>
        <w:ind w:firstLine="3600" w:firstLineChars="1500"/>
        <w:jc w:val="left"/>
        <w:outlineLvl w:val="2"/>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1"/>
        <w:rPr>
          <w:rFonts w:ascii="黑体" w:eastAsia="黑体"/>
          <w:sz w:val="28"/>
          <w:szCs w:val="28"/>
        </w:rPr>
      </w:pPr>
      <w:r>
        <w:rPr>
          <w:rFonts w:hint="eastAsia" w:asciiTheme="minorEastAsia" w:hAnsiTheme="minorEastAsia" w:eastAsiaTheme="minorEastAsia"/>
          <w:bCs/>
          <w:sz w:val="24"/>
        </w:rPr>
        <w:t>日期：     年    月    日</w:t>
      </w: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pStyle w:val="6"/>
        <w:spacing w:before="0" w:after="0" w:line="500" w:lineRule="exact"/>
        <w:jc w:val="center"/>
        <w:outlineLvl w:val="9"/>
        <w:rPr>
          <w:rFonts w:ascii="黑体" w:hAnsi="宋体" w:eastAsia="黑体"/>
          <w:b w:val="0"/>
          <w:sz w:val="28"/>
          <w:szCs w:val="28"/>
        </w:rPr>
      </w:pPr>
    </w:p>
    <w:p>
      <w:pPr>
        <w:pStyle w:val="6"/>
        <w:spacing w:before="0" w:after="0" w:line="500" w:lineRule="exact"/>
        <w:jc w:val="center"/>
        <w:outlineLvl w:val="1"/>
        <w:rPr>
          <w:rFonts w:ascii="黑体" w:hAnsi="宋体" w:eastAsia="黑体"/>
          <w:b w:val="0"/>
          <w:sz w:val="28"/>
          <w:szCs w:val="28"/>
        </w:rPr>
      </w:pPr>
      <w:r>
        <w:rPr>
          <w:rFonts w:hint="eastAsia" w:ascii="黑体" w:hAnsi="宋体" w:eastAsia="黑体"/>
          <w:b w:val="0"/>
          <w:sz w:val="28"/>
          <w:szCs w:val="28"/>
          <w:lang w:val="en-US" w:eastAsia="zh-CN"/>
        </w:rPr>
        <w:t>十</w:t>
      </w:r>
      <w:r>
        <w:rPr>
          <w:rFonts w:hint="eastAsia" w:ascii="黑体" w:hAnsi="宋体" w:eastAsia="黑体"/>
          <w:b w:val="0"/>
          <w:sz w:val="28"/>
          <w:szCs w:val="28"/>
        </w:rPr>
        <w:t>、参加政府采购活动前3年内在经营活动中没有重大违法记</w:t>
      </w:r>
      <w:r>
        <w:rPr>
          <w:rFonts w:hint="eastAsia" w:ascii="黑体" w:hAnsi="宋体" w:eastAsia="黑体"/>
          <w:b w:val="0"/>
          <w:bCs w:val="0"/>
          <w:sz w:val="28"/>
          <w:szCs w:val="28"/>
        </w:rPr>
        <w:t>录的书面声明</w:t>
      </w:r>
    </w:p>
    <w:p>
      <w:pPr>
        <w:spacing w:line="500" w:lineRule="exact"/>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声  明</w:t>
      </w:r>
    </w:p>
    <w:p>
      <w:pPr>
        <w:spacing w:line="500" w:lineRule="exact"/>
        <w:rPr>
          <w:rFonts w:ascii="楷体_GB2312" w:hAnsi="宋体" w:eastAsia="楷体_GB2312"/>
          <w:b/>
          <w:bCs/>
          <w:sz w:val="24"/>
        </w:rPr>
      </w:pPr>
    </w:p>
    <w:p>
      <w:pPr>
        <w:spacing w:line="5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我单位郑重声明：参加本次政府采购活动前 3 年内，我单位在经营活动中没有因违法经营受到刑事处罚或者责令停产停业、吊销许可证或者执照、较大数额罚款等行政处罚。</w:t>
      </w:r>
    </w:p>
    <w:p>
      <w:pPr>
        <w:spacing w:line="500" w:lineRule="exact"/>
        <w:ind w:firstLine="3840" w:firstLineChars="1600"/>
        <w:rPr>
          <w:rFonts w:ascii="宋体" w:hAnsi="宋体" w:eastAsia="楷体_GB2312"/>
          <w:bCs/>
          <w:sz w:val="24"/>
        </w:rPr>
      </w:pPr>
    </w:p>
    <w:p>
      <w:pPr>
        <w:spacing w:line="500" w:lineRule="exact"/>
        <w:ind w:firstLine="3840" w:firstLineChars="1600"/>
        <w:rPr>
          <w:rFonts w:ascii="宋体" w:hAnsi="宋体" w:eastAsia="楷体_GB2312"/>
          <w:bCs/>
          <w:sz w:val="24"/>
        </w:rPr>
      </w:pPr>
    </w:p>
    <w:p>
      <w:pPr>
        <w:spacing w:line="400" w:lineRule="exact"/>
        <w:ind w:firstLine="3600" w:firstLineChars="1500"/>
        <w:jc w:val="left"/>
        <w:outlineLvl w:val="0"/>
        <w:rPr>
          <w:rFonts w:asciiTheme="minorEastAsia" w:hAnsiTheme="minorEastAsia" w:eastAsiaTheme="minorEastAsia"/>
          <w:bCs/>
          <w:sz w:val="24"/>
        </w:rPr>
      </w:pPr>
      <w:r>
        <w:rPr>
          <w:rFonts w:hint="eastAsia" w:asciiTheme="minorEastAsia" w:hAnsiTheme="minorEastAsia" w:eastAsiaTheme="minorEastAsia"/>
          <w:bCs/>
          <w:sz w:val="24"/>
        </w:rPr>
        <w:t>投标单位（电子签章）：</w:t>
      </w:r>
    </w:p>
    <w:p>
      <w:pPr>
        <w:spacing w:line="400" w:lineRule="exact"/>
        <w:ind w:firstLine="3600" w:firstLineChars="1500"/>
        <w:jc w:val="left"/>
        <w:outlineLvl w:val="9"/>
        <w:rPr>
          <w:rFonts w:asciiTheme="minorEastAsia" w:hAnsiTheme="minorEastAsia" w:eastAsiaTheme="minorEastAsia"/>
          <w:bCs/>
          <w:sz w:val="24"/>
        </w:rPr>
      </w:pPr>
    </w:p>
    <w:p>
      <w:pPr>
        <w:spacing w:line="400" w:lineRule="exact"/>
        <w:ind w:firstLine="3600" w:firstLineChars="1500"/>
        <w:jc w:val="left"/>
        <w:outlineLvl w:val="0"/>
        <w:rPr>
          <w:rFonts w:ascii="黑体" w:eastAsia="黑体"/>
          <w:sz w:val="28"/>
          <w:szCs w:val="28"/>
        </w:rPr>
      </w:pPr>
      <w:r>
        <w:rPr>
          <w:rFonts w:hint="eastAsia" w:asciiTheme="minorEastAsia" w:hAnsiTheme="minorEastAsia" w:eastAsiaTheme="minorEastAsia"/>
          <w:bCs/>
          <w:sz w:val="24"/>
        </w:rPr>
        <w:t>日期：     年    月    日</w:t>
      </w:r>
    </w:p>
    <w:p>
      <w:pPr>
        <w:pStyle w:val="2"/>
        <w:numPr>
          <w:ilvl w:val="0"/>
          <w:numId w:val="0"/>
        </w:numPr>
        <w:rPr>
          <w:rFonts w:hint="eastAsia" w:ascii="黑体" w:hAnsi="楷体_GB2312" w:eastAsia="黑体" w:cs="黑体"/>
          <w:kern w:val="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 Yb 1gj">
    <w:altName w:val="Malgun Gothic Semilight"/>
    <w:panose1 w:val="00000000000000000000"/>
    <w:charset w:val="88"/>
    <w:family w:val="swiss"/>
    <w:pitch w:val="default"/>
    <w:sig w:usb0="00000000" w:usb1="00000000" w:usb2="00000010" w:usb3="00000000" w:csb0="00140000" w:csb1="00000000"/>
  </w:font>
  <w:font w:name="仿宋_GB2312">
    <w:altName w:val="仿宋"/>
    <w:panose1 w:val="02010609030101010101"/>
    <w:charset w:val="86"/>
    <w:family w:val="auto"/>
    <w:pitch w:val="default"/>
    <w:sig w:usb0="00000000" w:usb1="00000000" w:usb2="00000000" w:usb3="00000000" w:csb0="00040000" w:csb1="00000000"/>
  </w:font>
  <w:font w:name="黑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auto"/>
    <w:pitch w:val="default"/>
    <w:sig w:usb0="00000000" w:usb1="00000000" w:usb2="00000030" w:usb3="00000000" w:csb0="4008009F" w:csb1="DFD7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rPr>
                              <w:rStyle w:val="14"/>
                            </w:rPr>
                          </w:pPr>
                          <w:r>
                            <w:fldChar w:fldCharType="begin"/>
                          </w:r>
                          <w:r>
                            <w:rPr>
                              <w:rStyle w:val="14"/>
                            </w:rPr>
                            <w:instrText xml:space="preserve">PAGE  </w:instrText>
                          </w:r>
                          <w:r>
                            <w:fldChar w:fldCharType="separate"/>
                          </w:r>
                          <w:r>
                            <w:rPr>
                              <w:rStyle w:val="14"/>
                            </w:rPr>
                            <w:t>- 31 -</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Yk/vQBAAADBAAADgAAAGRycy9lMm9Eb2MueG1srVPLbtswELwX6D8Q&#10;vNeSXaAwBMtBEsNFgfQBJP0AiqIkoiKXWNKW3K/vkpLcNL3kkAuxJJezM7PL3c1oenZW6DXYkq9X&#10;OWfKSqi1bUv+8+n4YcuZD8LWogerSn5Rnt/s37/bDa5QG+igrxUyArG+GFzJuxBckWVedsoIvwKn&#10;LF02gEYE2mKb1SgGQjd9tsnzT9kAWDsEqbyn08N0yWdEfA0gNI2W6gDyZJQNEyqqXgSS5DvtPN8n&#10;tk2jZPjeNF4F1peclIa0UhGKq7hm+50oWhSu03KmIF5D4YUmI7SloleogwiCnVD/B2W0RPDQhJUE&#10;k01CkiOkYp2/8OaxE04lLWS1d1fT/dvBym/nH8h0XfKPnFlhqOFPagzsDka2ju4MzheU9OgoLYx0&#10;TDOTlHr3APKXZxbuO2FbdYsIQ6dETezSy+zZ0wnHR5Bq+Ao1lRGnAAlobNBE68gMRujUmcu1M5GK&#10;jCW3m+02pytJd8uG2GWiWJ479OGzAsNiUHKk1id4cX7wYUpdUmI1C0fd96n9vf3ngDDjSaIfGU/c&#10;w1iNsx0V1BcSgjBNE/0lCjrA35wNNEklt/RxOOu/WLIiDt0S4BJUSyCspIclD5xN4X2YhvPkULcd&#10;4S5m35JdR52ERF8nDjNLmo1kxTzHcfie71PW37+7/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JWYk/vQBAAADBAAADgAAAAAAAAABACAAAAAeAQAAZHJzL2Uyb0RvYy54bWxQSwUGAAAAAAYA&#10;BgBZAQAAhAUAAAAA&#10;">
              <v:fill on="f" focussize="0,0"/>
              <v:stroke on="f"/>
              <v:imagedata o:title=""/>
              <o:lock v:ext="edit" aspectratio="f"/>
              <v:textbox inset="0mm,0mm,0mm,0mm" style="mso-fit-shape-to-text:t;">
                <w:txbxContent>
                  <w:p>
                    <w:pPr>
                      <w:pStyle w:val="10"/>
                      <w:rPr>
                        <w:rStyle w:val="14"/>
                      </w:rPr>
                    </w:pPr>
                    <w:r>
                      <w:fldChar w:fldCharType="begin"/>
                    </w:r>
                    <w:r>
                      <w:rPr>
                        <w:rStyle w:val="14"/>
                      </w:rPr>
                      <w:instrText xml:space="preserve">PAGE  </w:instrText>
                    </w:r>
                    <w:r>
                      <w:fldChar w:fldCharType="separate"/>
                    </w:r>
                    <w:r>
                      <w:rPr>
                        <w:rStyle w:val="14"/>
                      </w:rPr>
                      <w:t>- 31 -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4e0/v6AQAAAQQAAA4AAABkcnMvZTJvRG9jLnhtbK1TwW7bMAy9D9g/&#10;CLovjtN02Iw4Rdcgw4BuHdDuA2RZjoVZokApsbOvHyXbWdddethFoCTq8b1HanMzmI6dFHoNtuT5&#10;YsmZshJqbQ8l//G0f/eBMx+ErUUHVpX8rDy/2b59s+ldoVbQQlcrZARifdG7krchuCLLvGyVEX4B&#10;Tlm6bACNCLTFQ1aj6AnddNlquXyf9YC1Q5DKezrdjZd8QsTXAELTaKl2II9G2TCioupEIEm+1c7z&#10;bWLbNEqGh6bxKrCu5KQ0pJWKUFzFNdtuRHFA4VotJwriNRReaDJCWyp6gdqJINgR9T9QRksED01Y&#10;SDDZKCQ5Qiry5QtvHlvhVNJCVnt3Md3/P1j57fQdma5LvuLMCkMNf1JDYJ9gYKvoTu98QUmPjtLC&#10;QMc0M0mpd/cgf3pm4a4V9qBuEaFvlaiJXR5fZs+ejjg+glT9V6ipjDgGSEBDgyZaR2YwQqfOnC+d&#10;iVRkLJmvP15dcybpKr/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P4e0/v6AQAAAQQAAA4AAAAAAAAAAQAgAAAAHwEAAGRycy9lMm9Eb2MueG1sUEsF&#10;BgAAAAAGAAYAWQEAAIsFA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947994"/>
    </w:sdtPr>
    <w:sdtContent>
      <w:p>
        <w:pPr>
          <w:pStyle w:val="10"/>
          <w:jc w:val="center"/>
        </w:pPr>
        <w:r>
          <w:fldChar w:fldCharType="begin"/>
        </w:r>
        <w:r>
          <w:instrText xml:space="preserve">PAGE   \* MERGEFORMAT</w:instrText>
        </w:r>
        <w:r>
          <w:fldChar w:fldCharType="separate"/>
        </w:r>
        <w:r>
          <w:rPr>
            <w:lang w:val="zh-CN"/>
          </w:rPr>
          <w:t>13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159FA"/>
    <w:multiLevelType w:val="singleLevel"/>
    <w:tmpl w:val="C3F159FA"/>
    <w:lvl w:ilvl="0" w:tentative="0">
      <w:start w:val="4"/>
      <w:numFmt w:val="chineseCounting"/>
      <w:suff w:val="nothing"/>
      <w:lvlText w:val="第%1章　"/>
      <w:lvlJc w:val="left"/>
      <w:rPr>
        <w:rFonts w:hint="eastAsia"/>
      </w:rPr>
    </w:lvl>
  </w:abstractNum>
  <w:abstractNum w:abstractNumId="1">
    <w:nsid w:val="C76C3CB4"/>
    <w:multiLevelType w:val="singleLevel"/>
    <w:tmpl w:val="C76C3CB4"/>
    <w:lvl w:ilvl="0" w:tentative="0">
      <w:start w:val="2"/>
      <w:numFmt w:val="chineseCounting"/>
      <w:suff w:val="nothing"/>
      <w:lvlText w:val="第%1章　"/>
      <w:lvlJc w:val="left"/>
      <w:rPr>
        <w:rFonts w:hint="eastAsia"/>
      </w:rPr>
    </w:lvl>
  </w:abstractNum>
  <w:abstractNum w:abstractNumId="2">
    <w:nsid w:val="0000000C"/>
    <w:multiLevelType w:val="multilevel"/>
    <w:tmpl w:val="0000000C"/>
    <w:lvl w:ilvl="0" w:tentative="0">
      <w:start w:val="1"/>
      <w:numFmt w:val="chineseCountingThousand"/>
      <w:pStyle w:val="4"/>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4392942"/>
    <w:multiLevelType w:val="multilevel"/>
    <w:tmpl w:val="0439294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5E73AB"/>
    <w:multiLevelType w:val="multilevel"/>
    <w:tmpl w:val="0D5E73A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9C4F20"/>
    <w:multiLevelType w:val="multilevel"/>
    <w:tmpl w:val="1C9C4F20"/>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6">
    <w:nsid w:val="2169691E"/>
    <w:multiLevelType w:val="multilevel"/>
    <w:tmpl w:val="2169691E"/>
    <w:lvl w:ilvl="0" w:tentative="0">
      <w:start w:val="1"/>
      <w:numFmt w:val="decimal"/>
      <w:lvlText w:val="%1)"/>
      <w:lvlJc w:val="left"/>
      <w:pPr>
        <w:ind w:left="900" w:hanging="420"/>
      </w:pPr>
    </w:lvl>
    <w:lvl w:ilvl="1" w:tentative="0">
      <w:start w:val="2"/>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D7A3F7D"/>
    <w:multiLevelType w:val="singleLevel"/>
    <w:tmpl w:val="2D7A3F7D"/>
    <w:lvl w:ilvl="0" w:tentative="0">
      <w:start w:val="2"/>
      <w:numFmt w:val="chineseCounting"/>
      <w:suff w:val="nothing"/>
      <w:lvlText w:val="%1、"/>
      <w:lvlJc w:val="left"/>
      <w:rPr>
        <w:rFonts w:hint="eastAsia"/>
      </w:rPr>
    </w:lvl>
  </w:abstractNum>
  <w:abstractNum w:abstractNumId="8">
    <w:nsid w:val="30A84FF3"/>
    <w:multiLevelType w:val="multilevel"/>
    <w:tmpl w:val="30A84FF3"/>
    <w:lvl w:ilvl="0" w:tentative="0">
      <w:start w:val="1"/>
      <w:numFmt w:val="decimal"/>
      <w:lvlText w:val="（%1）"/>
      <w:lvlJc w:val="left"/>
      <w:pPr>
        <w:ind w:left="1565" w:hanging="420"/>
      </w:pPr>
      <w:rPr>
        <w:rFonts w:hint="eastAsia"/>
      </w:rPr>
    </w:lvl>
    <w:lvl w:ilvl="1" w:tentative="0">
      <w:start w:val="1"/>
      <w:numFmt w:val="lowerLetter"/>
      <w:lvlText w:val="%2)"/>
      <w:lvlJc w:val="left"/>
      <w:pPr>
        <w:ind w:left="1985" w:hanging="420"/>
      </w:pPr>
    </w:lvl>
    <w:lvl w:ilvl="2" w:tentative="0">
      <w:start w:val="1"/>
      <w:numFmt w:val="lowerRoman"/>
      <w:lvlText w:val="%3."/>
      <w:lvlJc w:val="right"/>
      <w:pPr>
        <w:ind w:left="2405" w:hanging="420"/>
      </w:pPr>
    </w:lvl>
    <w:lvl w:ilvl="3" w:tentative="0">
      <w:start w:val="1"/>
      <w:numFmt w:val="decimal"/>
      <w:lvlText w:val="%4."/>
      <w:lvlJc w:val="left"/>
      <w:pPr>
        <w:ind w:left="2825" w:hanging="420"/>
      </w:pPr>
    </w:lvl>
    <w:lvl w:ilvl="4" w:tentative="0">
      <w:start w:val="1"/>
      <w:numFmt w:val="lowerLetter"/>
      <w:lvlText w:val="%5)"/>
      <w:lvlJc w:val="left"/>
      <w:pPr>
        <w:ind w:left="3245" w:hanging="420"/>
      </w:pPr>
    </w:lvl>
    <w:lvl w:ilvl="5" w:tentative="0">
      <w:start w:val="1"/>
      <w:numFmt w:val="lowerRoman"/>
      <w:lvlText w:val="%6."/>
      <w:lvlJc w:val="right"/>
      <w:pPr>
        <w:ind w:left="3665" w:hanging="420"/>
      </w:pPr>
    </w:lvl>
    <w:lvl w:ilvl="6" w:tentative="0">
      <w:start w:val="1"/>
      <w:numFmt w:val="decimal"/>
      <w:lvlText w:val="%7."/>
      <w:lvlJc w:val="left"/>
      <w:pPr>
        <w:ind w:left="4085" w:hanging="420"/>
      </w:pPr>
    </w:lvl>
    <w:lvl w:ilvl="7" w:tentative="0">
      <w:start w:val="1"/>
      <w:numFmt w:val="lowerLetter"/>
      <w:lvlText w:val="%8)"/>
      <w:lvlJc w:val="left"/>
      <w:pPr>
        <w:ind w:left="4505" w:hanging="420"/>
      </w:pPr>
    </w:lvl>
    <w:lvl w:ilvl="8" w:tentative="0">
      <w:start w:val="1"/>
      <w:numFmt w:val="lowerRoman"/>
      <w:lvlText w:val="%9."/>
      <w:lvlJc w:val="right"/>
      <w:pPr>
        <w:ind w:left="4925" w:hanging="420"/>
      </w:pPr>
    </w:lvl>
  </w:abstractNum>
  <w:abstractNum w:abstractNumId="9">
    <w:nsid w:val="336C6ACE"/>
    <w:multiLevelType w:val="multilevel"/>
    <w:tmpl w:val="336C6AC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D2F0700"/>
    <w:multiLevelType w:val="multilevel"/>
    <w:tmpl w:val="3D2F070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504EFB"/>
    <w:multiLevelType w:val="multilevel"/>
    <w:tmpl w:val="3E504EF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C87812"/>
    <w:multiLevelType w:val="multilevel"/>
    <w:tmpl w:val="40C8781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53414C2"/>
    <w:multiLevelType w:val="multilevel"/>
    <w:tmpl w:val="453414C2"/>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4">
    <w:nsid w:val="46531C4D"/>
    <w:multiLevelType w:val="multilevel"/>
    <w:tmpl w:val="46531C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87680A"/>
    <w:multiLevelType w:val="multilevel"/>
    <w:tmpl w:val="4A87680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FF00C9"/>
    <w:multiLevelType w:val="multilevel"/>
    <w:tmpl w:val="54FF00C9"/>
    <w:lvl w:ilvl="0" w:tentative="0">
      <w:start w:val="1"/>
      <w:numFmt w:val="decimal"/>
      <w:lvlText w:val="%1"/>
      <w:lvlJc w:val="left"/>
      <w:pPr>
        <w:ind w:left="425" w:hanging="425"/>
      </w:pPr>
      <w:rPr>
        <w:rFonts w:hint="eastAsia"/>
        <w:sz w:val="32"/>
        <w:szCs w:val="32"/>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579D7BA9"/>
    <w:multiLevelType w:val="multilevel"/>
    <w:tmpl w:val="579D7BA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DFC64DC"/>
    <w:multiLevelType w:val="multilevel"/>
    <w:tmpl w:val="5DFC64D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0F27865"/>
    <w:multiLevelType w:val="multilevel"/>
    <w:tmpl w:val="60F2786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8670185"/>
    <w:multiLevelType w:val="multilevel"/>
    <w:tmpl w:val="6867018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F5737D9"/>
    <w:multiLevelType w:val="multilevel"/>
    <w:tmpl w:val="6F5737D9"/>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2">
    <w:nsid w:val="6FD63037"/>
    <w:multiLevelType w:val="multilevel"/>
    <w:tmpl w:val="6FD6303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2F607DD"/>
    <w:multiLevelType w:val="multilevel"/>
    <w:tmpl w:val="72F607D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5D24300"/>
    <w:multiLevelType w:val="multilevel"/>
    <w:tmpl w:val="75D24300"/>
    <w:lvl w:ilvl="0" w:tentative="0">
      <w:start w:val="1"/>
      <w:numFmt w:val="decimal"/>
      <w:lvlText w:val="（%1）"/>
      <w:lvlJc w:val="left"/>
      <w:pPr>
        <w:ind w:left="1565" w:hanging="420"/>
      </w:pPr>
      <w:rPr>
        <w:rFonts w:hint="eastAsia"/>
      </w:rPr>
    </w:lvl>
    <w:lvl w:ilvl="1" w:tentative="0">
      <w:start w:val="1"/>
      <w:numFmt w:val="lowerLetter"/>
      <w:lvlText w:val="%2)"/>
      <w:lvlJc w:val="left"/>
      <w:pPr>
        <w:ind w:left="1985" w:hanging="420"/>
      </w:pPr>
    </w:lvl>
    <w:lvl w:ilvl="2" w:tentative="0">
      <w:start w:val="1"/>
      <w:numFmt w:val="lowerRoman"/>
      <w:lvlText w:val="%3."/>
      <w:lvlJc w:val="right"/>
      <w:pPr>
        <w:ind w:left="2405" w:hanging="420"/>
      </w:pPr>
    </w:lvl>
    <w:lvl w:ilvl="3" w:tentative="0">
      <w:start w:val="1"/>
      <w:numFmt w:val="decimal"/>
      <w:lvlText w:val="%4."/>
      <w:lvlJc w:val="left"/>
      <w:pPr>
        <w:ind w:left="2825" w:hanging="420"/>
      </w:pPr>
    </w:lvl>
    <w:lvl w:ilvl="4" w:tentative="0">
      <w:start w:val="1"/>
      <w:numFmt w:val="lowerLetter"/>
      <w:lvlText w:val="%5)"/>
      <w:lvlJc w:val="left"/>
      <w:pPr>
        <w:ind w:left="3245" w:hanging="420"/>
      </w:pPr>
    </w:lvl>
    <w:lvl w:ilvl="5" w:tentative="0">
      <w:start w:val="1"/>
      <w:numFmt w:val="lowerRoman"/>
      <w:lvlText w:val="%6."/>
      <w:lvlJc w:val="right"/>
      <w:pPr>
        <w:ind w:left="3665" w:hanging="420"/>
      </w:pPr>
    </w:lvl>
    <w:lvl w:ilvl="6" w:tentative="0">
      <w:start w:val="1"/>
      <w:numFmt w:val="decimal"/>
      <w:lvlText w:val="%7."/>
      <w:lvlJc w:val="left"/>
      <w:pPr>
        <w:ind w:left="4085" w:hanging="420"/>
      </w:pPr>
    </w:lvl>
    <w:lvl w:ilvl="7" w:tentative="0">
      <w:start w:val="1"/>
      <w:numFmt w:val="lowerLetter"/>
      <w:lvlText w:val="%8)"/>
      <w:lvlJc w:val="left"/>
      <w:pPr>
        <w:ind w:left="4505" w:hanging="420"/>
      </w:pPr>
    </w:lvl>
    <w:lvl w:ilvl="8" w:tentative="0">
      <w:start w:val="1"/>
      <w:numFmt w:val="lowerRoman"/>
      <w:lvlText w:val="%9."/>
      <w:lvlJc w:val="right"/>
      <w:pPr>
        <w:ind w:left="4925" w:hanging="420"/>
      </w:pPr>
    </w:lvl>
  </w:abstractNum>
  <w:abstractNum w:abstractNumId="25">
    <w:nsid w:val="7AB715A4"/>
    <w:multiLevelType w:val="multilevel"/>
    <w:tmpl w:val="7AB715A4"/>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16"/>
  </w:num>
  <w:num w:numId="5">
    <w:abstractNumId w:val="17"/>
  </w:num>
  <w:num w:numId="6">
    <w:abstractNumId w:val="6"/>
  </w:num>
  <w:num w:numId="7">
    <w:abstractNumId w:val="25"/>
  </w:num>
  <w:num w:numId="8">
    <w:abstractNumId w:val="20"/>
  </w:num>
  <w:num w:numId="9">
    <w:abstractNumId w:val="23"/>
  </w:num>
  <w:num w:numId="10">
    <w:abstractNumId w:val="15"/>
  </w:num>
  <w:num w:numId="11">
    <w:abstractNumId w:val="10"/>
  </w:num>
  <w:num w:numId="12">
    <w:abstractNumId w:val="18"/>
  </w:num>
  <w:num w:numId="13">
    <w:abstractNumId w:val="3"/>
  </w:num>
  <w:num w:numId="14">
    <w:abstractNumId w:val="19"/>
  </w:num>
  <w:num w:numId="15">
    <w:abstractNumId w:val="12"/>
  </w:num>
  <w:num w:numId="16">
    <w:abstractNumId w:val="4"/>
  </w:num>
  <w:num w:numId="17">
    <w:abstractNumId w:val="9"/>
  </w:num>
  <w:num w:numId="18">
    <w:abstractNumId w:val="22"/>
  </w:num>
  <w:num w:numId="19">
    <w:abstractNumId w:val="21"/>
  </w:num>
  <w:num w:numId="20">
    <w:abstractNumId w:val="24"/>
  </w:num>
  <w:num w:numId="21">
    <w:abstractNumId w:val="14"/>
  </w:num>
  <w:num w:numId="22">
    <w:abstractNumId w:val="8"/>
  </w:num>
  <w:num w:numId="23">
    <w:abstractNumId w:val="11"/>
  </w:num>
  <w:num w:numId="24">
    <w:abstractNumId w:val="13"/>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YzA3NDU4NGE2MmU1M2UxMjZiYzE1NDUyOGVkODcifQ=="/>
  </w:docVars>
  <w:rsids>
    <w:rsidRoot w:val="2D4B1204"/>
    <w:rsid w:val="0D2C4D01"/>
    <w:rsid w:val="2D4B1204"/>
    <w:rsid w:val="4C9A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120" w:after="120" w:line="360" w:lineRule="auto"/>
      <w:outlineLvl w:val="0"/>
    </w:pPr>
    <w:rPr>
      <w:rFonts w:ascii="宋体" w:hAnsi="宋体" w:cstheme="minorBidi"/>
      <w:b/>
      <w:bCs/>
      <w:kern w:val="44"/>
      <w:sz w:val="32"/>
      <w:szCs w:val="32"/>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 正文"/>
    <w:basedOn w:val="3"/>
    <w:qFormat/>
    <w:uiPriority w:val="0"/>
    <w:pPr>
      <w:widowControl w:val="0"/>
      <w:adjustRightInd w:val="0"/>
      <w:snapToGrid w:val="0"/>
      <w:spacing w:line="480" w:lineRule="exact"/>
      <w:ind w:firstLine="480"/>
    </w:pPr>
    <w:rPr>
      <w:rFonts w:ascii="Times New Roman" w:hAnsi="Times New Roman" w:eastAsia="宋体" w:cs="Times New Roman"/>
      <w:kern w:val="2"/>
      <w:sz w:val="24"/>
      <w:lang w:val="en-US" w:eastAsia="zh-CN" w:bidi="ar-SA"/>
    </w:rPr>
  </w:style>
  <w:style w:type="paragraph" w:customStyle="1" w:styleId="3">
    <w:name w:val="样式 首行缩进:  2 字符"/>
    <w:basedOn w:val="1"/>
    <w:qFormat/>
    <w:uiPriority w:val="0"/>
    <w:pPr>
      <w:widowControl/>
      <w:spacing w:line="360" w:lineRule="auto"/>
      <w:ind w:firstLine="200" w:firstLineChars="200"/>
      <w:textAlignment w:val="baseline"/>
    </w:pPr>
    <w:rPr>
      <w:rFonts w:cs="宋体"/>
      <w:color w:val="000000"/>
      <w:kern w:val="0"/>
      <w:sz w:val="28"/>
      <w:szCs w:val="20"/>
      <w:u w:color="000000"/>
    </w:rPr>
  </w:style>
  <w:style w:type="paragraph" w:styleId="7">
    <w:name w:val="Normal Indent"/>
    <w:basedOn w:val="1"/>
    <w:semiHidden/>
    <w:unhideWhenUsed/>
    <w:qFormat/>
    <w:uiPriority w:val="99"/>
    <w:pPr>
      <w:ind w:firstLine="420" w:firstLineChars="200"/>
    </w:pPr>
  </w:style>
  <w:style w:type="paragraph" w:styleId="8">
    <w:name w:val="Block Text"/>
    <w:basedOn w:val="1"/>
    <w:qFormat/>
    <w:uiPriority w:val="0"/>
    <w:pPr>
      <w:spacing w:after="120"/>
      <w:ind w:left="1440" w:leftChars="700" w:right="1440" w:rightChars="700"/>
    </w:pPr>
  </w:style>
  <w:style w:type="paragraph" w:styleId="9">
    <w:name w:val="Balloon Text"/>
    <w:basedOn w:val="1"/>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20"/>
    </w:rPr>
  </w:style>
  <w:style w:type="character" w:styleId="14">
    <w:name w:val="page number"/>
    <w:basedOn w:val="13"/>
    <w:qFormat/>
    <w:uiPriority w:val="0"/>
  </w:style>
  <w:style w:type="character" w:styleId="15">
    <w:name w:val="FollowedHyperlink"/>
    <w:basedOn w:val="13"/>
    <w:qFormat/>
    <w:uiPriority w:val="99"/>
    <w:rPr>
      <w:color w:val="800080"/>
      <w:u w:val="single"/>
    </w:rPr>
  </w:style>
  <w:style w:type="character" w:customStyle="1" w:styleId="16">
    <w:name w:val="标题 2 Char"/>
    <w:qFormat/>
    <w:uiPriority w:val="0"/>
    <w:rPr>
      <w:rFonts w:ascii="Arial" w:hAnsi="Arial" w:eastAsia="黑体"/>
      <w:b/>
      <w:bCs/>
      <w:kern w:val="2"/>
      <w:sz w:val="32"/>
      <w:szCs w:val="32"/>
      <w:lang w:val="en-US" w:eastAsia="zh-CN" w:bidi="ar-SA"/>
    </w:rPr>
  </w:style>
  <w:style w:type="paragraph" w:customStyle="1" w:styleId="17">
    <w:name w:val="_正文段落"/>
    <w:basedOn w:val="1"/>
    <w:qFormat/>
    <w:uiPriority w:val="0"/>
    <w:pPr>
      <w:spacing w:line="360" w:lineRule="auto"/>
      <w:ind w:firstLine="200" w:firstLineChars="200"/>
      <w:jc w:val="left"/>
    </w:pPr>
    <w:rPr>
      <w:rFonts w:ascii="宋体" w:hAnsi="宋体"/>
      <w:sz w:val="24"/>
    </w:rPr>
  </w:style>
  <w:style w:type="paragraph" w:customStyle="1" w:styleId="18">
    <w:name w:val="表格文字"/>
    <w:basedOn w:val="1"/>
    <w:qFormat/>
    <w:uiPriority w:val="0"/>
    <w:pPr>
      <w:spacing w:beforeLines="25" w:afterLines="25"/>
      <w:ind w:firstLine="420"/>
    </w:pPr>
    <w:rPr>
      <w:rFonts w:ascii="仿宋" w:hAnsi="仿宋"/>
      <w:spacing w:val="10"/>
    </w:rPr>
  </w:style>
  <w:style w:type="paragraph" w:customStyle="1" w:styleId="19">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20">
    <w:name w:val="列出段落1"/>
    <w:basedOn w:val="1"/>
    <w:qFormat/>
    <w:uiPriority w:val="34"/>
    <w:pPr>
      <w:spacing w:line="360" w:lineRule="auto"/>
      <w:ind w:firstLine="420" w:firstLineChars="200"/>
    </w:pPr>
    <w:rPr>
      <w:sz w:val="24"/>
      <w:szCs w:val="22"/>
    </w:rPr>
  </w:style>
  <w:style w:type="paragraph" w:styleId="21">
    <w:name w:val="List Paragraph"/>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3">
    <w:name w:val=" Char Char1 Char Char Char Char Char Char Char Char Char Char Char Char Char Char"/>
    <w:basedOn w:val="1"/>
    <w:qFormat/>
    <w:uiPriority w:val="0"/>
    <w:pPr>
      <w:widowControl/>
      <w:adjustRightInd/>
      <w:spacing w:after="160" w:afterLines="0" w:line="240" w:lineRule="exact"/>
      <w:textAlignment w:val="auto"/>
    </w:pPr>
  </w:style>
  <w:style w:type="paragraph" w:customStyle="1" w:styleId="24">
    <w:name w:val="CM11"/>
    <w:basedOn w:val="25"/>
    <w:next w:val="25"/>
    <w:qFormat/>
    <w:uiPriority w:val="0"/>
    <w:rPr>
      <w:rFonts w:ascii="H Yb 1gj" w:hAnsi="Calibri" w:eastAsia="H Yb 1gj" w:cs="Times New Roman"/>
      <w:color w:val="auto"/>
      <w:lang w:eastAsia="zh-TW"/>
    </w:rPr>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CM17"/>
    <w:basedOn w:val="25"/>
    <w:next w:val="25"/>
    <w:qFormat/>
    <w:uiPriority w:val="0"/>
    <w:pPr>
      <w:spacing w:line="468" w:lineRule="atLeast"/>
    </w:pPr>
    <w:rPr>
      <w:rFonts w:ascii="黑体" w:eastAsia="黑体" w:cs="Times New Roman"/>
      <w:color w:val="auto"/>
    </w:rPr>
  </w:style>
  <w:style w:type="paragraph" w:customStyle="1" w:styleId="27">
    <w:name w:val="CM12"/>
    <w:basedOn w:val="25"/>
    <w:next w:val="25"/>
    <w:qFormat/>
    <w:uiPriority w:val="0"/>
    <w:pPr>
      <w:spacing w:line="311" w:lineRule="atLeast"/>
    </w:pPr>
    <w:rPr>
      <w:rFonts w:ascii="黑体...." w:hAnsi="Calibri" w:eastAsia="黑体...." w:cs="Times New Roman"/>
      <w:color w:val="auto"/>
      <w:lang w:eastAsia="zh-TW"/>
    </w:rPr>
  </w:style>
  <w:style w:type="paragraph" w:customStyle="1" w:styleId="28">
    <w:name w:val="CM13"/>
    <w:basedOn w:val="25"/>
    <w:next w:val="25"/>
    <w:qFormat/>
    <w:uiPriority w:val="0"/>
    <w:rPr>
      <w:rFonts w:ascii="黑体...." w:hAnsi="Calibri" w:eastAsia="黑体...." w:cs="Times New Roman"/>
      <w:color w:val="auto"/>
      <w:lang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21492</Words>
  <Characters>21800</Characters>
  <Lines>0</Lines>
  <Paragraphs>0</Paragraphs>
  <TotalTime>3</TotalTime>
  <ScaleCrop>false</ScaleCrop>
  <LinksUpToDate>false</LinksUpToDate>
  <CharactersWithSpaces>23082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2023-06-07T01:13:00Z</dcterms:created>
  <dc:creator>运气选手</dc:creator>
  <cp:lastModifiedBy>运气选手</cp:lastModifiedBy>
  <cp:lastPrinted>2023-06-07T01:50:00Z</cp:lastPrinted>
  <dcterms:modified xsi:type="dcterms:W3CDTF">2023-06-07T02:14:49Z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9DA7026CE49641EAB7CE481475952CE5_11</vt:lpwstr>
  </property>
</Properties>
</file>